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881" w:rsidRPr="002569CE" w:rsidRDefault="00D572C9">
      <w:pPr>
        <w:jc w:val="both"/>
        <w:rPr>
          <w:rFonts w:ascii="Arial" w:hAnsi="Arial" w:cs="Arial"/>
          <w:b/>
          <w:bCs/>
          <w:sz w:val="22"/>
        </w:rPr>
      </w:pPr>
      <w:r w:rsidRPr="002569CE">
        <w:rPr>
          <w:rFonts w:ascii="Arial" w:hAnsi="Arial" w:cs="Arial"/>
          <w:b/>
          <w:bCs/>
          <w:sz w:val="22"/>
        </w:rPr>
        <w:t>Öffentliche Bekanntmachung des Landratsamtes</w:t>
      </w:r>
      <w:r w:rsidR="00B304B3">
        <w:rPr>
          <w:rFonts w:ascii="Arial" w:hAnsi="Arial" w:cs="Arial"/>
          <w:b/>
          <w:bCs/>
          <w:sz w:val="22"/>
        </w:rPr>
        <w:t xml:space="preserve"> Unstrut-Hainich-Kreis</w:t>
      </w:r>
      <w:r w:rsidRPr="002569CE">
        <w:rPr>
          <w:rFonts w:ascii="Arial" w:hAnsi="Arial" w:cs="Arial"/>
          <w:b/>
          <w:bCs/>
          <w:sz w:val="22"/>
        </w:rPr>
        <w:t xml:space="preserve"> </w:t>
      </w:r>
      <w:r w:rsidR="00AE30B5" w:rsidRPr="002569CE">
        <w:rPr>
          <w:rFonts w:ascii="Arial" w:hAnsi="Arial" w:cs="Arial"/>
          <w:b/>
          <w:bCs/>
          <w:sz w:val="22"/>
        </w:rPr>
        <w:t>zur Vorprüfung</w:t>
      </w:r>
      <w:r w:rsidRPr="002569CE">
        <w:rPr>
          <w:rFonts w:ascii="Arial" w:hAnsi="Arial" w:cs="Arial"/>
          <w:b/>
          <w:bCs/>
          <w:sz w:val="22"/>
        </w:rPr>
        <w:t xml:space="preserve"> gemäß § </w:t>
      </w:r>
      <w:r w:rsidR="000154A2">
        <w:rPr>
          <w:rFonts w:ascii="Arial" w:hAnsi="Arial" w:cs="Arial"/>
          <w:b/>
          <w:bCs/>
          <w:sz w:val="22"/>
        </w:rPr>
        <w:t>9</w:t>
      </w:r>
      <w:r w:rsidRPr="002569CE">
        <w:rPr>
          <w:rFonts w:ascii="Arial" w:hAnsi="Arial" w:cs="Arial"/>
          <w:b/>
          <w:bCs/>
          <w:sz w:val="22"/>
        </w:rPr>
        <w:t xml:space="preserve"> </w:t>
      </w:r>
      <w:r w:rsidR="002D724D" w:rsidRPr="002569CE">
        <w:rPr>
          <w:rFonts w:ascii="Arial" w:hAnsi="Arial" w:cs="Arial"/>
          <w:b/>
          <w:bCs/>
          <w:sz w:val="22"/>
        </w:rPr>
        <w:t xml:space="preserve">Abs. 2 </w:t>
      </w:r>
      <w:r w:rsidR="000154A2">
        <w:rPr>
          <w:rFonts w:ascii="Arial" w:hAnsi="Arial" w:cs="Arial"/>
          <w:b/>
          <w:bCs/>
          <w:sz w:val="22"/>
        </w:rPr>
        <w:t xml:space="preserve">i.V.m. § 7 Abs. 2 </w:t>
      </w:r>
      <w:r w:rsidRPr="002569CE">
        <w:rPr>
          <w:rFonts w:ascii="Arial" w:hAnsi="Arial" w:cs="Arial"/>
          <w:b/>
          <w:bCs/>
          <w:sz w:val="22"/>
        </w:rPr>
        <w:t xml:space="preserve">des Gesetzes über die Umweltverträglichkeitsprüfung im Rahmen des Genehmigungsverfahrens zum Antrag der </w:t>
      </w:r>
      <w:r w:rsidR="00B304B3">
        <w:rPr>
          <w:rFonts w:ascii="Arial" w:hAnsi="Arial" w:cs="Arial"/>
          <w:b/>
          <w:bCs/>
          <w:sz w:val="22"/>
        </w:rPr>
        <w:t xml:space="preserve">Agrargenossenschaft Großengottern e.G. </w:t>
      </w:r>
      <w:r w:rsidR="0021574F" w:rsidRPr="002569CE">
        <w:rPr>
          <w:rFonts w:ascii="Arial" w:hAnsi="Arial" w:cs="Arial"/>
          <w:b/>
          <w:bCs/>
          <w:sz w:val="22"/>
        </w:rPr>
        <w:t>999</w:t>
      </w:r>
      <w:r w:rsidR="00B304B3">
        <w:rPr>
          <w:rFonts w:ascii="Arial" w:hAnsi="Arial" w:cs="Arial"/>
          <w:b/>
          <w:bCs/>
          <w:sz w:val="22"/>
        </w:rPr>
        <w:t>98</w:t>
      </w:r>
      <w:r w:rsidR="00AE30B5" w:rsidRPr="002569CE">
        <w:rPr>
          <w:rFonts w:ascii="Arial" w:hAnsi="Arial" w:cs="Arial"/>
          <w:b/>
          <w:bCs/>
          <w:sz w:val="22"/>
        </w:rPr>
        <w:t xml:space="preserve"> </w:t>
      </w:r>
      <w:r w:rsidR="00B304B3">
        <w:rPr>
          <w:rFonts w:ascii="Arial" w:hAnsi="Arial" w:cs="Arial"/>
          <w:b/>
          <w:bCs/>
          <w:sz w:val="22"/>
        </w:rPr>
        <w:t>Mühlhausen OT Seebach</w:t>
      </w:r>
      <w:r w:rsidRPr="002569CE">
        <w:rPr>
          <w:rFonts w:ascii="Arial" w:hAnsi="Arial" w:cs="Arial"/>
          <w:b/>
          <w:bCs/>
          <w:sz w:val="22"/>
        </w:rPr>
        <w:t xml:space="preserve"> auf Erteilung einer Genehmigung nach § </w:t>
      </w:r>
      <w:r w:rsidR="002569CE" w:rsidRPr="002569CE">
        <w:rPr>
          <w:rFonts w:ascii="Arial" w:hAnsi="Arial" w:cs="Arial"/>
          <w:b/>
          <w:bCs/>
          <w:sz w:val="22"/>
        </w:rPr>
        <w:t>16</w:t>
      </w:r>
      <w:r w:rsidRPr="002569CE">
        <w:rPr>
          <w:rFonts w:ascii="Arial" w:hAnsi="Arial" w:cs="Arial"/>
          <w:b/>
          <w:bCs/>
          <w:sz w:val="22"/>
        </w:rPr>
        <w:t xml:space="preserve"> des Bundes-Immissionsschutzgesetzes zur </w:t>
      </w:r>
      <w:r w:rsidR="002569CE" w:rsidRPr="002569CE">
        <w:rPr>
          <w:rFonts w:ascii="Arial" w:hAnsi="Arial" w:cs="Arial"/>
          <w:b/>
          <w:bCs/>
          <w:sz w:val="22"/>
        </w:rPr>
        <w:t xml:space="preserve">wesentlichen Änderung </w:t>
      </w:r>
      <w:r w:rsidR="00B304B3">
        <w:rPr>
          <w:rFonts w:ascii="Arial" w:hAnsi="Arial" w:cs="Arial"/>
          <w:b/>
          <w:bCs/>
          <w:sz w:val="22"/>
        </w:rPr>
        <w:t>ihrer</w:t>
      </w:r>
      <w:r w:rsidR="002569CE" w:rsidRPr="002569CE">
        <w:rPr>
          <w:rFonts w:ascii="Arial" w:hAnsi="Arial" w:cs="Arial"/>
          <w:b/>
          <w:bCs/>
          <w:sz w:val="22"/>
        </w:rPr>
        <w:t xml:space="preserve"> </w:t>
      </w:r>
      <w:r w:rsidR="00B304B3">
        <w:rPr>
          <w:rFonts w:ascii="Arial" w:hAnsi="Arial" w:cs="Arial"/>
          <w:b/>
          <w:bCs/>
          <w:sz w:val="22"/>
        </w:rPr>
        <w:t xml:space="preserve">Rinderanlage </w:t>
      </w:r>
      <w:r w:rsidR="00472C59" w:rsidRPr="002569CE">
        <w:rPr>
          <w:rFonts w:ascii="Arial" w:hAnsi="Arial" w:cs="Arial"/>
          <w:b/>
          <w:bCs/>
          <w:sz w:val="22"/>
        </w:rPr>
        <w:t>999</w:t>
      </w:r>
      <w:r w:rsidR="00B304B3">
        <w:rPr>
          <w:rFonts w:ascii="Arial" w:hAnsi="Arial" w:cs="Arial"/>
          <w:b/>
          <w:bCs/>
          <w:sz w:val="22"/>
        </w:rPr>
        <w:t>98</w:t>
      </w:r>
      <w:r w:rsidR="00964881" w:rsidRPr="002569CE">
        <w:rPr>
          <w:rFonts w:ascii="Arial" w:hAnsi="Arial" w:cs="Arial"/>
          <w:b/>
          <w:bCs/>
          <w:sz w:val="22"/>
        </w:rPr>
        <w:t xml:space="preserve"> </w:t>
      </w:r>
      <w:r w:rsidR="00B304B3">
        <w:rPr>
          <w:rFonts w:ascii="Arial" w:hAnsi="Arial" w:cs="Arial"/>
          <w:b/>
          <w:bCs/>
          <w:sz w:val="22"/>
        </w:rPr>
        <w:t>Mühlhausen OT Seebach</w:t>
      </w:r>
    </w:p>
    <w:p w:rsidR="00D572C9" w:rsidRPr="002569CE" w:rsidRDefault="00D572C9">
      <w:pPr>
        <w:jc w:val="both"/>
        <w:rPr>
          <w:rFonts w:ascii="Arial" w:hAnsi="Arial" w:cs="Arial"/>
          <w:b/>
          <w:bCs/>
          <w:sz w:val="22"/>
          <w:highlight w:val="yellow"/>
        </w:rPr>
      </w:pPr>
      <w:r w:rsidRPr="002569CE">
        <w:rPr>
          <w:rFonts w:ascii="Arial" w:hAnsi="Arial" w:cs="Arial"/>
          <w:b/>
          <w:bCs/>
          <w:sz w:val="22"/>
          <w:highlight w:val="yellow"/>
        </w:rPr>
        <w:t xml:space="preserve"> </w:t>
      </w:r>
    </w:p>
    <w:p w:rsidR="00D572C9" w:rsidRPr="005513F2" w:rsidRDefault="00D572C9">
      <w:pPr>
        <w:rPr>
          <w:rFonts w:ascii="Arial" w:hAnsi="Arial" w:cs="Arial"/>
          <w:sz w:val="22"/>
        </w:rPr>
      </w:pPr>
    </w:p>
    <w:p w:rsidR="00D572C9" w:rsidRPr="005513F2" w:rsidRDefault="00D572C9">
      <w:pPr>
        <w:rPr>
          <w:rFonts w:ascii="Arial" w:hAnsi="Arial" w:cs="Arial"/>
          <w:sz w:val="22"/>
        </w:rPr>
      </w:pPr>
    </w:p>
    <w:p w:rsidR="00D572C9" w:rsidRPr="005513F2" w:rsidRDefault="00AE30B5">
      <w:pPr>
        <w:jc w:val="both"/>
        <w:rPr>
          <w:rFonts w:ascii="Arial" w:hAnsi="Arial" w:cs="Arial"/>
          <w:bCs/>
          <w:sz w:val="22"/>
        </w:rPr>
      </w:pPr>
      <w:r w:rsidRPr="005513F2">
        <w:rPr>
          <w:rFonts w:ascii="Arial" w:hAnsi="Arial" w:cs="Arial"/>
          <w:sz w:val="22"/>
        </w:rPr>
        <w:t xml:space="preserve">Die </w:t>
      </w:r>
      <w:r w:rsidR="00B304B3">
        <w:rPr>
          <w:rFonts w:ascii="Arial" w:hAnsi="Arial" w:cs="Arial"/>
          <w:sz w:val="22"/>
        </w:rPr>
        <w:t>Agrargenossenschaft Großengottern e.G.</w:t>
      </w:r>
      <w:r w:rsidRPr="005513F2">
        <w:rPr>
          <w:rFonts w:ascii="Arial" w:hAnsi="Arial" w:cs="Arial"/>
          <w:sz w:val="22"/>
        </w:rPr>
        <w:t xml:space="preserve">, </w:t>
      </w:r>
      <w:r w:rsidR="00B304B3">
        <w:rPr>
          <w:rFonts w:ascii="Arial" w:hAnsi="Arial" w:cs="Arial"/>
          <w:sz w:val="22"/>
        </w:rPr>
        <w:t>Wiesenstraße 17b, 99998 Mühlhausen OT Seebach,</w:t>
      </w:r>
      <w:r w:rsidRPr="005513F2">
        <w:rPr>
          <w:rFonts w:ascii="Arial" w:hAnsi="Arial" w:cs="Arial"/>
          <w:sz w:val="22"/>
        </w:rPr>
        <w:t xml:space="preserve"> </w:t>
      </w:r>
      <w:r w:rsidR="00D572C9" w:rsidRPr="005513F2">
        <w:rPr>
          <w:rFonts w:ascii="Arial" w:hAnsi="Arial" w:cs="Arial"/>
          <w:sz w:val="22"/>
        </w:rPr>
        <w:t xml:space="preserve">beantragte </w:t>
      </w:r>
      <w:r w:rsidR="00B304B3">
        <w:rPr>
          <w:rFonts w:ascii="Arial" w:hAnsi="Arial" w:cs="Arial"/>
          <w:sz w:val="22"/>
        </w:rPr>
        <w:t xml:space="preserve">am 20.01.2025 </w:t>
      </w:r>
      <w:r w:rsidR="00D572C9" w:rsidRPr="005513F2">
        <w:rPr>
          <w:rFonts w:ascii="Arial" w:hAnsi="Arial" w:cs="Arial"/>
          <w:sz w:val="22"/>
        </w:rPr>
        <w:t>beim Landratsamt des Unstrut-Hainich-Kreises die</w:t>
      </w:r>
      <w:r w:rsidR="00D572C9" w:rsidRPr="005513F2">
        <w:rPr>
          <w:rFonts w:ascii="Arial" w:hAnsi="Arial" w:cs="Arial"/>
          <w:bCs/>
          <w:sz w:val="22"/>
        </w:rPr>
        <w:t xml:space="preserve"> Erteilung der Genehmigung nach § </w:t>
      </w:r>
      <w:r w:rsidR="000154A2" w:rsidRPr="005513F2">
        <w:rPr>
          <w:rFonts w:ascii="Arial" w:hAnsi="Arial" w:cs="Arial"/>
          <w:bCs/>
          <w:sz w:val="22"/>
        </w:rPr>
        <w:t>16</w:t>
      </w:r>
      <w:r w:rsidR="00D572C9" w:rsidRPr="005513F2">
        <w:rPr>
          <w:rFonts w:ascii="Arial" w:hAnsi="Arial" w:cs="Arial"/>
          <w:bCs/>
          <w:sz w:val="22"/>
        </w:rPr>
        <w:t xml:space="preserve"> des Bundes-Immissionsschutzgesetzes (BImSchG) </w:t>
      </w:r>
      <w:r w:rsidR="00607C69" w:rsidRPr="005513F2">
        <w:rPr>
          <w:rFonts w:ascii="Arial" w:hAnsi="Arial" w:cs="Arial"/>
          <w:bCs/>
          <w:sz w:val="22"/>
        </w:rPr>
        <w:t xml:space="preserve">für die </w:t>
      </w:r>
      <w:r w:rsidR="000154A2" w:rsidRPr="005513F2">
        <w:rPr>
          <w:rFonts w:ascii="Arial" w:hAnsi="Arial" w:cs="Arial"/>
          <w:bCs/>
          <w:sz w:val="22"/>
        </w:rPr>
        <w:t>wesentliche Änderung ihrer</w:t>
      </w:r>
      <w:r w:rsidR="00D572C9" w:rsidRPr="005513F2">
        <w:rPr>
          <w:rFonts w:ascii="Arial" w:hAnsi="Arial" w:cs="Arial"/>
          <w:bCs/>
          <w:sz w:val="22"/>
        </w:rPr>
        <w:t xml:space="preserve">   </w:t>
      </w:r>
    </w:p>
    <w:p w:rsidR="00AE30B5" w:rsidRPr="005513F2" w:rsidRDefault="00AE30B5">
      <w:pPr>
        <w:jc w:val="both"/>
        <w:rPr>
          <w:rFonts w:ascii="Arial" w:hAnsi="Arial" w:cs="Arial"/>
          <w:bCs/>
          <w:sz w:val="22"/>
        </w:rPr>
      </w:pPr>
    </w:p>
    <w:p w:rsidR="00AE30B5" w:rsidRPr="005513F2" w:rsidRDefault="00AE30B5" w:rsidP="000154A2">
      <w:pPr>
        <w:jc w:val="center"/>
        <w:rPr>
          <w:rFonts w:ascii="Arial" w:hAnsi="Arial" w:cs="Arial"/>
          <w:b/>
          <w:bCs/>
          <w:sz w:val="22"/>
        </w:rPr>
      </w:pPr>
    </w:p>
    <w:p w:rsidR="00F64C70" w:rsidRPr="00E249B4" w:rsidRDefault="00F64C70" w:rsidP="00F64C70">
      <w:pPr>
        <w:jc w:val="center"/>
        <w:rPr>
          <w:rFonts w:ascii="Arial" w:hAnsi="Arial" w:cs="Arial"/>
          <w:b/>
          <w:bCs/>
          <w:sz w:val="22"/>
        </w:rPr>
      </w:pPr>
      <w:r w:rsidRPr="00E249B4">
        <w:rPr>
          <w:rFonts w:ascii="Arial" w:hAnsi="Arial" w:cs="Arial"/>
          <w:b/>
          <w:bCs/>
          <w:sz w:val="22"/>
        </w:rPr>
        <w:t>Rindermastanlage nach Nr.</w:t>
      </w:r>
      <w:r w:rsidR="00E249B4" w:rsidRPr="00E249B4">
        <w:rPr>
          <w:rFonts w:ascii="Arial" w:hAnsi="Arial" w:cs="Arial"/>
          <w:b/>
          <w:bCs/>
          <w:sz w:val="22"/>
        </w:rPr>
        <w:t xml:space="preserve"> 7.1.5 des Anhangs 1 zur Verordnung über genehmigungsbedürftige Anlagen (4. BImSchV) </w:t>
      </w:r>
    </w:p>
    <w:p w:rsidR="00332380" w:rsidRPr="00E249B4" w:rsidRDefault="00F64C70" w:rsidP="00F64C70">
      <w:pPr>
        <w:jc w:val="center"/>
        <w:rPr>
          <w:rFonts w:ascii="Arial" w:hAnsi="Arial" w:cs="Arial"/>
          <w:b/>
          <w:bCs/>
          <w:sz w:val="22"/>
        </w:rPr>
      </w:pPr>
      <w:r w:rsidRPr="00E249B4">
        <w:rPr>
          <w:rFonts w:ascii="Arial" w:hAnsi="Arial" w:cs="Arial"/>
          <w:b/>
          <w:bCs/>
          <w:sz w:val="22"/>
        </w:rPr>
        <w:t>mit 1.649 Jungrinder- und 443 Kälberplätzen</w:t>
      </w:r>
    </w:p>
    <w:p w:rsidR="00F64C70" w:rsidRPr="00E249B4" w:rsidRDefault="00F64C70" w:rsidP="00F64C70">
      <w:pPr>
        <w:jc w:val="center"/>
        <w:rPr>
          <w:rFonts w:ascii="Arial" w:hAnsi="Arial" w:cs="Arial"/>
          <w:b/>
          <w:bCs/>
          <w:sz w:val="22"/>
        </w:rPr>
      </w:pPr>
    </w:p>
    <w:p w:rsidR="00332380" w:rsidRPr="00E249B4" w:rsidRDefault="00332380" w:rsidP="000154A2">
      <w:pPr>
        <w:jc w:val="center"/>
        <w:rPr>
          <w:rFonts w:ascii="Arial" w:hAnsi="Arial" w:cs="Arial"/>
          <w:b/>
          <w:bCs/>
          <w:sz w:val="22"/>
        </w:rPr>
      </w:pPr>
    </w:p>
    <w:p w:rsidR="000154A2" w:rsidRPr="00E249B4" w:rsidRDefault="00F64C70" w:rsidP="000154A2">
      <w:pPr>
        <w:jc w:val="center"/>
        <w:rPr>
          <w:rFonts w:ascii="Arial" w:hAnsi="Arial" w:cs="Arial"/>
          <w:bCs/>
          <w:sz w:val="22"/>
        </w:rPr>
      </w:pPr>
      <w:r w:rsidRPr="00E249B4">
        <w:rPr>
          <w:rFonts w:ascii="Arial" w:hAnsi="Arial" w:cs="Arial"/>
          <w:bCs/>
          <w:sz w:val="22"/>
        </w:rPr>
        <w:t xml:space="preserve">durch </w:t>
      </w:r>
    </w:p>
    <w:p w:rsidR="00C96FB4" w:rsidRPr="00E249B4" w:rsidRDefault="00C96FB4" w:rsidP="000154A2">
      <w:pPr>
        <w:jc w:val="center"/>
        <w:rPr>
          <w:rFonts w:ascii="Arial" w:hAnsi="Arial" w:cs="Arial"/>
          <w:b/>
          <w:bCs/>
          <w:sz w:val="22"/>
        </w:rPr>
      </w:pPr>
    </w:p>
    <w:p w:rsidR="00E249B4" w:rsidRPr="00E249B4" w:rsidRDefault="00F64C70" w:rsidP="000154A2">
      <w:pPr>
        <w:jc w:val="center"/>
        <w:rPr>
          <w:rFonts w:ascii="Arial" w:hAnsi="Arial" w:cs="Arial"/>
          <w:b/>
          <w:bCs/>
          <w:sz w:val="22"/>
        </w:rPr>
      </w:pPr>
      <w:r w:rsidRPr="00E249B4">
        <w:rPr>
          <w:rFonts w:ascii="Arial" w:hAnsi="Arial" w:cs="Arial"/>
          <w:b/>
          <w:bCs/>
          <w:sz w:val="22"/>
        </w:rPr>
        <w:t xml:space="preserve">Errichtung und Betrieb einer Anlage zur Aufzucht von Mastkälbern </w:t>
      </w:r>
    </w:p>
    <w:p w:rsidR="00F64C70" w:rsidRPr="00E249B4" w:rsidRDefault="00E249B4" w:rsidP="000154A2">
      <w:pPr>
        <w:jc w:val="center"/>
        <w:rPr>
          <w:rFonts w:ascii="Arial" w:hAnsi="Arial" w:cs="Arial"/>
          <w:b/>
          <w:bCs/>
          <w:sz w:val="22"/>
        </w:rPr>
      </w:pPr>
      <w:r w:rsidRPr="00E249B4">
        <w:rPr>
          <w:rFonts w:ascii="Arial" w:hAnsi="Arial" w:cs="Arial"/>
          <w:b/>
          <w:bCs/>
          <w:sz w:val="22"/>
        </w:rPr>
        <w:t xml:space="preserve">nach Nr. 7.1.6 des Anhangs 1 zur 4. BImSchV </w:t>
      </w:r>
      <w:r w:rsidR="00F64C70" w:rsidRPr="00E249B4">
        <w:rPr>
          <w:rFonts w:ascii="Arial" w:hAnsi="Arial" w:cs="Arial"/>
          <w:b/>
          <w:bCs/>
          <w:sz w:val="22"/>
        </w:rPr>
        <w:t>mit 1.058 Tierplätzen</w:t>
      </w:r>
    </w:p>
    <w:p w:rsidR="00F64C70" w:rsidRPr="00E249B4" w:rsidRDefault="00F64C70" w:rsidP="000154A2">
      <w:pPr>
        <w:jc w:val="center"/>
        <w:rPr>
          <w:rFonts w:ascii="Arial" w:hAnsi="Arial" w:cs="Arial"/>
          <w:b/>
          <w:bCs/>
          <w:sz w:val="22"/>
        </w:rPr>
      </w:pPr>
    </w:p>
    <w:p w:rsidR="00D572C9" w:rsidRPr="005513F2" w:rsidRDefault="00D572C9" w:rsidP="000154A2">
      <w:pPr>
        <w:jc w:val="center"/>
        <w:rPr>
          <w:rFonts w:ascii="Arial" w:hAnsi="Arial" w:cs="Arial"/>
          <w:b/>
          <w:bCs/>
          <w:sz w:val="22"/>
        </w:rPr>
      </w:pPr>
    </w:p>
    <w:p w:rsidR="005513F2" w:rsidRPr="005513F2" w:rsidRDefault="005513F2">
      <w:pPr>
        <w:jc w:val="both"/>
        <w:rPr>
          <w:rFonts w:ascii="Arial" w:hAnsi="Arial" w:cs="Arial"/>
          <w:bCs/>
          <w:sz w:val="22"/>
        </w:rPr>
      </w:pPr>
    </w:p>
    <w:p w:rsidR="00D572C9" w:rsidRPr="005513F2" w:rsidRDefault="00D572C9" w:rsidP="00F64C70">
      <w:pPr>
        <w:tabs>
          <w:tab w:val="left" w:pos="540"/>
          <w:tab w:val="left" w:pos="3544"/>
        </w:tabs>
        <w:spacing w:after="60"/>
        <w:jc w:val="both"/>
        <w:rPr>
          <w:rFonts w:ascii="Arial" w:hAnsi="Arial" w:cs="Arial"/>
          <w:bCs/>
          <w:sz w:val="22"/>
        </w:rPr>
      </w:pPr>
      <w:r w:rsidRPr="005513F2">
        <w:rPr>
          <w:rFonts w:ascii="Arial" w:hAnsi="Arial" w:cs="Arial"/>
          <w:bCs/>
          <w:sz w:val="22"/>
        </w:rPr>
        <w:t xml:space="preserve">in </w:t>
      </w:r>
      <w:r w:rsidRPr="005513F2">
        <w:rPr>
          <w:rFonts w:ascii="Arial" w:hAnsi="Arial" w:cs="Arial"/>
          <w:bCs/>
          <w:sz w:val="22"/>
        </w:rPr>
        <w:tab/>
      </w:r>
      <w:r w:rsidRPr="005513F2">
        <w:rPr>
          <w:rFonts w:ascii="Arial" w:hAnsi="Arial" w:cs="Arial"/>
          <w:b/>
          <w:sz w:val="22"/>
        </w:rPr>
        <w:t>999</w:t>
      </w:r>
      <w:r w:rsidR="00B304B3">
        <w:rPr>
          <w:rFonts w:ascii="Arial" w:hAnsi="Arial" w:cs="Arial"/>
          <w:b/>
          <w:sz w:val="22"/>
        </w:rPr>
        <w:t>98</w:t>
      </w:r>
      <w:r w:rsidR="00AE30B5" w:rsidRPr="005513F2">
        <w:rPr>
          <w:rFonts w:ascii="Arial" w:hAnsi="Arial" w:cs="Arial"/>
          <w:b/>
          <w:sz w:val="22"/>
        </w:rPr>
        <w:t xml:space="preserve"> </w:t>
      </w:r>
      <w:r w:rsidR="00B304B3">
        <w:rPr>
          <w:rFonts w:ascii="Arial" w:hAnsi="Arial" w:cs="Arial"/>
          <w:b/>
          <w:sz w:val="22"/>
        </w:rPr>
        <w:t>Mühlhausen</w:t>
      </w:r>
      <w:r w:rsidR="0021574F" w:rsidRPr="005513F2">
        <w:rPr>
          <w:rFonts w:ascii="Arial" w:hAnsi="Arial" w:cs="Arial"/>
          <w:b/>
          <w:sz w:val="22"/>
        </w:rPr>
        <w:t xml:space="preserve"> </w:t>
      </w:r>
      <w:r w:rsidR="0021574F" w:rsidRPr="005513F2">
        <w:rPr>
          <w:rFonts w:ascii="Arial" w:hAnsi="Arial" w:cs="Arial"/>
          <w:bCs/>
          <w:sz w:val="22"/>
        </w:rPr>
        <w:tab/>
      </w:r>
      <w:r w:rsidRPr="005513F2">
        <w:rPr>
          <w:rFonts w:ascii="Arial" w:hAnsi="Arial" w:cs="Arial"/>
          <w:bCs/>
          <w:sz w:val="22"/>
        </w:rPr>
        <w:t xml:space="preserve">Gemarkung: </w:t>
      </w:r>
      <w:r w:rsidRPr="005513F2">
        <w:rPr>
          <w:rFonts w:ascii="Arial" w:hAnsi="Arial" w:cs="Arial"/>
          <w:bCs/>
          <w:sz w:val="22"/>
        </w:rPr>
        <w:tab/>
      </w:r>
      <w:r w:rsidR="00C96FB4">
        <w:rPr>
          <w:rFonts w:ascii="Arial" w:hAnsi="Arial" w:cs="Arial"/>
          <w:b/>
          <w:sz w:val="22"/>
        </w:rPr>
        <w:t>S</w:t>
      </w:r>
      <w:r w:rsidR="00B304B3">
        <w:rPr>
          <w:rFonts w:ascii="Arial" w:hAnsi="Arial" w:cs="Arial"/>
          <w:b/>
          <w:sz w:val="22"/>
        </w:rPr>
        <w:t>eebach</w:t>
      </w:r>
    </w:p>
    <w:p w:rsidR="0058732A" w:rsidRDefault="00D572C9" w:rsidP="0058732A">
      <w:pPr>
        <w:tabs>
          <w:tab w:val="left" w:pos="540"/>
          <w:tab w:val="left" w:pos="3544"/>
          <w:tab w:val="left" w:pos="4962"/>
        </w:tabs>
        <w:jc w:val="both"/>
        <w:rPr>
          <w:rFonts w:ascii="Arial" w:hAnsi="Arial" w:cs="Arial"/>
          <w:b/>
          <w:bCs/>
          <w:sz w:val="22"/>
        </w:rPr>
      </w:pPr>
      <w:r w:rsidRPr="005513F2">
        <w:rPr>
          <w:rFonts w:ascii="Arial" w:hAnsi="Arial" w:cs="Arial"/>
          <w:bCs/>
          <w:sz w:val="22"/>
        </w:rPr>
        <w:t>Flur:</w:t>
      </w:r>
      <w:r w:rsidRPr="005513F2">
        <w:rPr>
          <w:rFonts w:ascii="Arial" w:hAnsi="Arial" w:cs="Arial"/>
          <w:bCs/>
          <w:sz w:val="22"/>
        </w:rPr>
        <w:tab/>
      </w:r>
      <w:r w:rsidR="00B304B3">
        <w:rPr>
          <w:rFonts w:ascii="Arial" w:hAnsi="Arial" w:cs="Arial"/>
          <w:b/>
          <w:sz w:val="22"/>
        </w:rPr>
        <w:t>1</w:t>
      </w:r>
      <w:r w:rsidR="0058732A">
        <w:rPr>
          <w:rFonts w:ascii="Arial" w:hAnsi="Arial" w:cs="Arial"/>
          <w:b/>
          <w:sz w:val="22"/>
        </w:rPr>
        <w:tab/>
      </w:r>
      <w:r w:rsidRPr="005513F2">
        <w:rPr>
          <w:rFonts w:ascii="Arial" w:hAnsi="Arial" w:cs="Arial"/>
          <w:bCs/>
          <w:sz w:val="22"/>
        </w:rPr>
        <w:t>Flurstück</w:t>
      </w:r>
      <w:r w:rsidR="00B304B3">
        <w:rPr>
          <w:rFonts w:ascii="Arial" w:hAnsi="Arial" w:cs="Arial"/>
          <w:bCs/>
          <w:sz w:val="22"/>
        </w:rPr>
        <w:t>e</w:t>
      </w:r>
      <w:r w:rsidRPr="005513F2">
        <w:rPr>
          <w:rFonts w:ascii="Arial" w:hAnsi="Arial" w:cs="Arial"/>
          <w:bCs/>
          <w:sz w:val="22"/>
        </w:rPr>
        <w:t xml:space="preserve">: </w:t>
      </w:r>
      <w:r w:rsidRPr="005513F2">
        <w:rPr>
          <w:rFonts w:ascii="Arial" w:hAnsi="Arial" w:cs="Arial"/>
          <w:bCs/>
          <w:sz w:val="22"/>
        </w:rPr>
        <w:tab/>
      </w:r>
      <w:r w:rsidR="00C96FB4">
        <w:rPr>
          <w:rFonts w:ascii="Arial" w:hAnsi="Arial" w:cs="Arial"/>
          <w:b/>
          <w:bCs/>
          <w:sz w:val="22"/>
        </w:rPr>
        <w:t>4</w:t>
      </w:r>
      <w:r w:rsidR="00B304B3">
        <w:rPr>
          <w:rFonts w:ascii="Arial" w:hAnsi="Arial" w:cs="Arial"/>
          <w:b/>
          <w:bCs/>
          <w:sz w:val="22"/>
        </w:rPr>
        <w:t>/29</w:t>
      </w:r>
      <w:r w:rsidR="0058732A">
        <w:rPr>
          <w:rFonts w:ascii="Arial" w:hAnsi="Arial" w:cs="Arial"/>
          <w:b/>
          <w:bCs/>
          <w:sz w:val="22"/>
        </w:rPr>
        <w:t xml:space="preserve">, 4/30, 4/31, 4/41, 4/42, 4/43, 4/44, </w:t>
      </w:r>
    </w:p>
    <w:p w:rsidR="00B304B3" w:rsidRDefault="0058732A" w:rsidP="00F64C70">
      <w:pPr>
        <w:tabs>
          <w:tab w:val="left" w:pos="540"/>
          <w:tab w:val="left" w:pos="4962"/>
        </w:tabs>
        <w:spacing w:after="60"/>
        <w:jc w:val="both"/>
        <w:rPr>
          <w:rFonts w:ascii="Arial" w:hAnsi="Arial" w:cs="Arial"/>
          <w:b/>
          <w:bCs/>
          <w:sz w:val="22"/>
        </w:rPr>
      </w:pPr>
      <w:r>
        <w:rPr>
          <w:rFonts w:ascii="Arial" w:hAnsi="Arial" w:cs="Arial"/>
          <w:b/>
          <w:bCs/>
          <w:sz w:val="22"/>
        </w:rPr>
        <w:t xml:space="preserve"> </w:t>
      </w:r>
      <w:r>
        <w:rPr>
          <w:rFonts w:ascii="Arial" w:hAnsi="Arial" w:cs="Arial"/>
          <w:b/>
          <w:bCs/>
          <w:sz w:val="22"/>
        </w:rPr>
        <w:tab/>
      </w:r>
      <w:r>
        <w:rPr>
          <w:rFonts w:ascii="Arial" w:hAnsi="Arial" w:cs="Arial"/>
          <w:b/>
          <w:bCs/>
          <w:sz w:val="22"/>
        </w:rPr>
        <w:tab/>
        <w:t>1/37, 2/1, 2/3, 1/5</w:t>
      </w:r>
      <w:r w:rsidR="00F64C70">
        <w:rPr>
          <w:rFonts w:ascii="Arial" w:hAnsi="Arial" w:cs="Arial"/>
          <w:b/>
          <w:bCs/>
          <w:sz w:val="22"/>
        </w:rPr>
        <w:t xml:space="preserve"> und</w:t>
      </w:r>
      <w:r>
        <w:rPr>
          <w:rFonts w:ascii="Arial" w:hAnsi="Arial" w:cs="Arial"/>
          <w:b/>
          <w:bCs/>
          <w:sz w:val="22"/>
        </w:rPr>
        <w:t xml:space="preserve"> 1/42 </w:t>
      </w:r>
    </w:p>
    <w:p w:rsidR="0058732A" w:rsidRDefault="0058732A" w:rsidP="0058732A">
      <w:pPr>
        <w:tabs>
          <w:tab w:val="left" w:pos="540"/>
          <w:tab w:val="left" w:pos="3544"/>
          <w:tab w:val="left" w:pos="4962"/>
        </w:tabs>
        <w:jc w:val="both"/>
        <w:rPr>
          <w:rFonts w:ascii="Arial" w:hAnsi="Arial" w:cs="Arial"/>
          <w:b/>
          <w:bCs/>
          <w:sz w:val="22"/>
        </w:rPr>
      </w:pPr>
      <w:r w:rsidRPr="005513F2">
        <w:rPr>
          <w:rFonts w:ascii="Arial" w:hAnsi="Arial" w:cs="Arial"/>
          <w:bCs/>
          <w:sz w:val="22"/>
        </w:rPr>
        <w:t>Flur:</w:t>
      </w:r>
      <w:r w:rsidRPr="005513F2">
        <w:rPr>
          <w:rFonts w:ascii="Arial" w:hAnsi="Arial" w:cs="Arial"/>
          <w:bCs/>
          <w:sz w:val="22"/>
        </w:rPr>
        <w:tab/>
      </w:r>
      <w:r w:rsidRPr="0058732A">
        <w:rPr>
          <w:rFonts w:ascii="Arial" w:hAnsi="Arial" w:cs="Arial"/>
          <w:b/>
          <w:bCs/>
          <w:sz w:val="22"/>
        </w:rPr>
        <w:t>3</w:t>
      </w:r>
      <w:r>
        <w:rPr>
          <w:rFonts w:ascii="Arial" w:hAnsi="Arial" w:cs="Arial"/>
          <w:b/>
          <w:sz w:val="22"/>
        </w:rPr>
        <w:tab/>
      </w:r>
      <w:r w:rsidRPr="005513F2">
        <w:rPr>
          <w:rFonts w:ascii="Arial" w:hAnsi="Arial" w:cs="Arial"/>
          <w:bCs/>
          <w:sz w:val="22"/>
        </w:rPr>
        <w:t>Flurstück</w:t>
      </w:r>
      <w:r>
        <w:rPr>
          <w:rFonts w:ascii="Arial" w:hAnsi="Arial" w:cs="Arial"/>
          <w:bCs/>
          <w:sz w:val="22"/>
        </w:rPr>
        <w:t>e</w:t>
      </w:r>
      <w:r w:rsidRPr="005513F2">
        <w:rPr>
          <w:rFonts w:ascii="Arial" w:hAnsi="Arial" w:cs="Arial"/>
          <w:bCs/>
          <w:sz w:val="22"/>
        </w:rPr>
        <w:t xml:space="preserve">: </w:t>
      </w:r>
      <w:r w:rsidRPr="005513F2">
        <w:rPr>
          <w:rFonts w:ascii="Arial" w:hAnsi="Arial" w:cs="Arial"/>
          <w:bCs/>
          <w:sz w:val="22"/>
        </w:rPr>
        <w:tab/>
      </w:r>
      <w:r>
        <w:rPr>
          <w:rFonts w:ascii="Arial" w:hAnsi="Arial" w:cs="Arial"/>
          <w:b/>
          <w:bCs/>
          <w:sz w:val="22"/>
        </w:rPr>
        <w:t>1/181, 1/182, 1/183, 1/184, 1/189, 1/104,</w:t>
      </w:r>
    </w:p>
    <w:p w:rsidR="0058732A" w:rsidRDefault="0058732A" w:rsidP="0058732A">
      <w:pPr>
        <w:tabs>
          <w:tab w:val="left" w:pos="540"/>
          <w:tab w:val="left" w:pos="3544"/>
          <w:tab w:val="left" w:pos="4962"/>
        </w:tabs>
        <w:jc w:val="both"/>
        <w:rPr>
          <w:rFonts w:ascii="Arial" w:hAnsi="Arial" w:cs="Arial"/>
          <w:b/>
          <w:bCs/>
          <w:sz w:val="22"/>
        </w:rPr>
      </w:pPr>
      <w:r>
        <w:rPr>
          <w:rFonts w:ascii="Arial" w:hAnsi="Arial" w:cs="Arial"/>
          <w:b/>
          <w:bCs/>
          <w:sz w:val="22"/>
        </w:rPr>
        <w:t xml:space="preserve">  </w:t>
      </w:r>
      <w:r>
        <w:rPr>
          <w:rFonts w:ascii="Arial" w:hAnsi="Arial" w:cs="Arial"/>
          <w:b/>
          <w:bCs/>
          <w:sz w:val="22"/>
        </w:rPr>
        <w:tab/>
      </w:r>
      <w:r>
        <w:rPr>
          <w:rFonts w:ascii="Arial" w:hAnsi="Arial" w:cs="Arial"/>
          <w:b/>
          <w:bCs/>
          <w:sz w:val="22"/>
        </w:rPr>
        <w:tab/>
      </w:r>
      <w:r>
        <w:rPr>
          <w:rFonts w:ascii="Arial" w:hAnsi="Arial" w:cs="Arial"/>
          <w:b/>
          <w:bCs/>
          <w:sz w:val="22"/>
        </w:rPr>
        <w:tab/>
        <w:t xml:space="preserve">1/106, 1/107, 1/108, 1/109, 1/110, 1/111, </w:t>
      </w:r>
    </w:p>
    <w:p w:rsidR="0058732A" w:rsidRDefault="0058732A" w:rsidP="0058732A">
      <w:pPr>
        <w:tabs>
          <w:tab w:val="left" w:pos="540"/>
          <w:tab w:val="left" w:pos="3544"/>
          <w:tab w:val="left" w:pos="4962"/>
        </w:tabs>
        <w:jc w:val="both"/>
        <w:rPr>
          <w:rFonts w:ascii="Arial" w:hAnsi="Arial" w:cs="Arial"/>
          <w:b/>
          <w:bCs/>
          <w:sz w:val="22"/>
        </w:rPr>
      </w:pPr>
      <w:r>
        <w:rPr>
          <w:rFonts w:ascii="Arial" w:hAnsi="Arial" w:cs="Arial"/>
          <w:b/>
          <w:bCs/>
          <w:sz w:val="22"/>
        </w:rPr>
        <w:t xml:space="preserve"> </w:t>
      </w:r>
      <w:r>
        <w:rPr>
          <w:rFonts w:ascii="Arial" w:hAnsi="Arial" w:cs="Arial"/>
          <w:b/>
          <w:bCs/>
          <w:sz w:val="22"/>
        </w:rPr>
        <w:tab/>
      </w:r>
      <w:r>
        <w:rPr>
          <w:rFonts w:ascii="Arial" w:hAnsi="Arial" w:cs="Arial"/>
          <w:b/>
          <w:bCs/>
          <w:sz w:val="22"/>
        </w:rPr>
        <w:tab/>
      </w:r>
      <w:r>
        <w:rPr>
          <w:rFonts w:ascii="Arial" w:hAnsi="Arial" w:cs="Arial"/>
          <w:b/>
          <w:bCs/>
          <w:sz w:val="22"/>
        </w:rPr>
        <w:tab/>
        <w:t xml:space="preserve">1/112, 1/113, 1/114, 1/168, 1/170, 1/189, </w:t>
      </w:r>
    </w:p>
    <w:p w:rsidR="0058732A" w:rsidRDefault="0058732A" w:rsidP="0058732A">
      <w:pPr>
        <w:tabs>
          <w:tab w:val="left" w:pos="540"/>
          <w:tab w:val="left" w:pos="3544"/>
          <w:tab w:val="left" w:pos="4962"/>
        </w:tabs>
        <w:jc w:val="both"/>
        <w:rPr>
          <w:rFonts w:ascii="Arial" w:hAnsi="Arial" w:cs="Arial"/>
          <w:b/>
          <w:bCs/>
          <w:sz w:val="22"/>
        </w:rPr>
      </w:pPr>
      <w:r>
        <w:rPr>
          <w:rFonts w:ascii="Arial" w:hAnsi="Arial" w:cs="Arial"/>
          <w:b/>
          <w:bCs/>
          <w:sz w:val="22"/>
        </w:rPr>
        <w:tab/>
      </w:r>
      <w:r>
        <w:rPr>
          <w:rFonts w:ascii="Arial" w:hAnsi="Arial" w:cs="Arial"/>
          <w:b/>
          <w:bCs/>
          <w:sz w:val="22"/>
        </w:rPr>
        <w:tab/>
      </w:r>
      <w:r>
        <w:rPr>
          <w:rFonts w:ascii="Arial" w:hAnsi="Arial" w:cs="Arial"/>
          <w:b/>
          <w:bCs/>
          <w:sz w:val="22"/>
        </w:rPr>
        <w:tab/>
        <w:t>1/241, 1/243, 1/248, 1/250, 1/4, und 2/1.</w:t>
      </w:r>
    </w:p>
    <w:p w:rsidR="00D572C9" w:rsidRPr="005513F2" w:rsidRDefault="00D572C9" w:rsidP="0058732A">
      <w:pPr>
        <w:tabs>
          <w:tab w:val="left" w:pos="540"/>
          <w:tab w:val="left" w:pos="4962"/>
        </w:tabs>
        <w:jc w:val="both"/>
        <w:rPr>
          <w:rFonts w:ascii="Arial" w:hAnsi="Arial" w:cs="Arial"/>
          <w:b/>
          <w:sz w:val="22"/>
        </w:rPr>
      </w:pPr>
    </w:p>
    <w:p w:rsidR="001A0AF4" w:rsidRDefault="001A0AF4" w:rsidP="0058732A">
      <w:pPr>
        <w:tabs>
          <w:tab w:val="left" w:pos="540"/>
          <w:tab w:val="left" w:pos="4962"/>
        </w:tabs>
        <w:jc w:val="both"/>
        <w:rPr>
          <w:rFonts w:ascii="Arial" w:hAnsi="Arial" w:cs="Arial"/>
          <w:b/>
          <w:sz w:val="22"/>
          <w:highlight w:val="yellow"/>
        </w:rPr>
      </w:pPr>
    </w:p>
    <w:p w:rsidR="00AA374B" w:rsidRPr="002569CE" w:rsidRDefault="00AA374B">
      <w:pPr>
        <w:tabs>
          <w:tab w:val="left" w:pos="540"/>
        </w:tabs>
        <w:jc w:val="both"/>
        <w:rPr>
          <w:rFonts w:ascii="Arial" w:hAnsi="Arial" w:cs="Arial"/>
          <w:b/>
          <w:sz w:val="22"/>
          <w:highlight w:val="yellow"/>
        </w:rPr>
      </w:pPr>
    </w:p>
    <w:p w:rsidR="005513F2" w:rsidRPr="00EC2B69" w:rsidRDefault="005513F2" w:rsidP="005513F2">
      <w:pPr>
        <w:jc w:val="both"/>
        <w:rPr>
          <w:rFonts w:ascii="Arial" w:hAnsi="Arial" w:cs="Arial"/>
          <w:bCs/>
          <w:sz w:val="22"/>
        </w:rPr>
      </w:pPr>
      <w:r w:rsidRPr="00EC2B69">
        <w:rPr>
          <w:rFonts w:ascii="Arial" w:hAnsi="Arial" w:cs="Arial"/>
          <w:bCs/>
          <w:sz w:val="22"/>
        </w:rPr>
        <w:t xml:space="preserve">Das beantragte Vorhaben umfasst folgende Maßnahmen: </w:t>
      </w:r>
    </w:p>
    <w:p w:rsidR="00C96FB4" w:rsidRPr="00B304B3" w:rsidRDefault="00C96FB4" w:rsidP="00C96FB4">
      <w:pPr>
        <w:jc w:val="both"/>
        <w:rPr>
          <w:rFonts w:ascii="Arial" w:hAnsi="Arial" w:cs="Arial"/>
          <w:bCs/>
          <w:sz w:val="22"/>
          <w:highlight w:val="yellow"/>
        </w:rPr>
      </w:pP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 xml:space="preserve">Umbau der Kompaktanlage und Schaffung von Auslaufflächen am Stall verbunden mit einer Erhöhung der Tierplatzkapazität </w:t>
      </w: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Errichtung von zwei Hallen zur Unterbringung von automatischen Einstreusystemen</w:t>
      </w: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Änderung der Tierbelegung im Kälberstall und Schaffung eines Kranken- und Selektionsbereiches</w:t>
      </w: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 xml:space="preserve">Stilllegung des Anbaus am Kälberstall </w:t>
      </w: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Errichtung einer überdachten Dunglagerstätte</w:t>
      </w: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Errichtung eines Bergeraumes</w:t>
      </w: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 xml:space="preserve">Abriss </w:t>
      </w:r>
      <w:r>
        <w:rPr>
          <w:rFonts w:ascii="Arial" w:hAnsi="Arial" w:cs="Arial"/>
        </w:rPr>
        <w:t xml:space="preserve">eines </w:t>
      </w:r>
      <w:r w:rsidRPr="006C07E4">
        <w:rPr>
          <w:rFonts w:ascii="Arial" w:hAnsi="Arial" w:cs="Arial"/>
        </w:rPr>
        <w:t>Schuppen</w:t>
      </w:r>
      <w:r>
        <w:rPr>
          <w:rFonts w:ascii="Arial" w:hAnsi="Arial" w:cs="Arial"/>
        </w:rPr>
        <w:t>s</w:t>
      </w:r>
    </w:p>
    <w:p w:rsidR="009B4EC1" w:rsidRPr="006C07E4" w:rsidRDefault="009B4EC1" w:rsidP="009B4EC1">
      <w:pPr>
        <w:pStyle w:val="Listenabsatz"/>
        <w:numPr>
          <w:ilvl w:val="0"/>
          <w:numId w:val="4"/>
        </w:numPr>
        <w:autoSpaceDE w:val="0"/>
        <w:autoSpaceDN w:val="0"/>
        <w:adjustRightInd w:val="0"/>
        <w:spacing w:after="0" w:line="240" w:lineRule="auto"/>
        <w:rPr>
          <w:rFonts w:ascii="Arial" w:hAnsi="Arial" w:cs="Arial"/>
        </w:rPr>
      </w:pPr>
      <w:r w:rsidRPr="006C07E4">
        <w:rPr>
          <w:rFonts w:ascii="Arial" w:hAnsi="Arial" w:cs="Arial"/>
        </w:rPr>
        <w:t>Erhöhung des Gesamttierbestandes der Anlage von 2.092 auf 2.731 Tierplätze</w:t>
      </w:r>
    </w:p>
    <w:p w:rsidR="00C96FB4" w:rsidRDefault="00C96FB4" w:rsidP="00C96FB4">
      <w:pPr>
        <w:rPr>
          <w:rFonts w:ascii="Arial" w:hAnsi="Arial" w:cs="Arial"/>
          <w:sz w:val="22"/>
          <w:szCs w:val="22"/>
        </w:rPr>
      </w:pPr>
    </w:p>
    <w:p w:rsidR="00C96FB4" w:rsidRPr="00C96FB4" w:rsidRDefault="00C96FB4" w:rsidP="00C96FB4">
      <w:pPr>
        <w:overflowPunct w:val="0"/>
        <w:autoSpaceDE w:val="0"/>
        <w:autoSpaceDN w:val="0"/>
        <w:adjustRightInd w:val="0"/>
        <w:textAlignment w:val="baseline"/>
        <w:rPr>
          <w:rFonts w:ascii="Arial" w:hAnsi="Arial" w:cs="Arial"/>
          <w:sz w:val="22"/>
          <w:szCs w:val="22"/>
        </w:rPr>
      </w:pPr>
      <w:r w:rsidRPr="00C96FB4">
        <w:rPr>
          <w:rFonts w:ascii="Arial" w:hAnsi="Arial" w:cs="Arial"/>
          <w:sz w:val="22"/>
          <w:szCs w:val="22"/>
        </w:rPr>
        <w:t>Der Tierbestand der Anlage setzt sich nach der wesentlichen Änderung wie folgt zusammen:</w:t>
      </w:r>
    </w:p>
    <w:p w:rsidR="00C96FB4" w:rsidRDefault="00C96FB4" w:rsidP="00C96FB4">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  </w:t>
      </w:r>
    </w:p>
    <w:p w:rsidR="009B4EC1" w:rsidRDefault="009B4EC1" w:rsidP="00C96FB4">
      <w:pPr>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80 Kälber bis 12 Wochen</w:t>
      </w:r>
    </w:p>
    <w:p w:rsidR="00C96FB4" w:rsidRDefault="009B4EC1" w:rsidP="00C96FB4">
      <w:pPr>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978 Kälber bis 6 Monate</w:t>
      </w:r>
      <w:r w:rsidR="00C96FB4">
        <w:rPr>
          <w:rFonts w:ascii="Arial" w:hAnsi="Arial" w:cs="Arial"/>
          <w:sz w:val="22"/>
          <w:szCs w:val="22"/>
        </w:rPr>
        <w:t xml:space="preserve"> </w:t>
      </w:r>
    </w:p>
    <w:p w:rsidR="009B4EC1" w:rsidRDefault="009B4EC1" w:rsidP="00C96FB4">
      <w:pPr>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880 Jungrinder 6 – 12 Monate</w:t>
      </w:r>
    </w:p>
    <w:p w:rsidR="009B4EC1" w:rsidRDefault="009B4EC1" w:rsidP="00C96FB4">
      <w:pPr>
        <w:numPr>
          <w:ilvl w:val="0"/>
          <w:numId w:val="3"/>
        </w:numPr>
        <w:overflowPunct w:val="0"/>
        <w:autoSpaceDE w:val="0"/>
        <w:autoSpaceDN w:val="0"/>
        <w:adjustRightInd w:val="0"/>
        <w:textAlignment w:val="baseline"/>
        <w:rPr>
          <w:rFonts w:ascii="Arial" w:hAnsi="Arial" w:cs="Arial"/>
          <w:sz w:val="22"/>
          <w:szCs w:val="22"/>
        </w:rPr>
      </w:pPr>
      <w:r>
        <w:rPr>
          <w:rFonts w:ascii="Arial" w:hAnsi="Arial" w:cs="Arial"/>
          <w:sz w:val="22"/>
          <w:szCs w:val="22"/>
        </w:rPr>
        <w:t>793 Jungrinder 12 – 24 Monate</w:t>
      </w:r>
    </w:p>
    <w:p w:rsidR="005513F2" w:rsidRPr="00D006D3" w:rsidRDefault="00D572C9">
      <w:pPr>
        <w:pStyle w:val="Textkrper2"/>
        <w:rPr>
          <w:szCs w:val="22"/>
        </w:rPr>
      </w:pPr>
      <w:r w:rsidRPr="00D006D3">
        <w:rPr>
          <w:szCs w:val="22"/>
        </w:rPr>
        <w:lastRenderedPageBreak/>
        <w:t xml:space="preserve">Gemäß </w:t>
      </w:r>
      <w:r w:rsidR="005271D4" w:rsidRPr="00D006D3">
        <w:rPr>
          <w:szCs w:val="22"/>
        </w:rPr>
        <w:t>§ 5 Abs. 2</w:t>
      </w:r>
      <w:r w:rsidRPr="00D006D3">
        <w:rPr>
          <w:szCs w:val="22"/>
        </w:rPr>
        <w:t xml:space="preserve"> des Gesetzes über die Umweltverträglichkeitsprüfung (UVPG) wird hiermit bekannt</w:t>
      </w:r>
      <w:r w:rsidR="002D724D" w:rsidRPr="00D006D3">
        <w:rPr>
          <w:szCs w:val="22"/>
        </w:rPr>
        <w:t xml:space="preserve"> </w:t>
      </w:r>
      <w:r w:rsidRPr="00D006D3">
        <w:rPr>
          <w:szCs w:val="22"/>
        </w:rPr>
        <w:t xml:space="preserve">gegeben, dass im Rahmen einer </w:t>
      </w:r>
      <w:r w:rsidR="00E249B4">
        <w:rPr>
          <w:szCs w:val="22"/>
        </w:rPr>
        <w:t>allgemeinen</w:t>
      </w:r>
      <w:r w:rsidR="009E6940" w:rsidRPr="00D006D3">
        <w:rPr>
          <w:szCs w:val="22"/>
        </w:rPr>
        <w:t xml:space="preserve"> Vorprüfung </w:t>
      </w:r>
      <w:r w:rsidRPr="00D006D3">
        <w:rPr>
          <w:szCs w:val="22"/>
        </w:rPr>
        <w:t xml:space="preserve">nach § </w:t>
      </w:r>
      <w:r w:rsidR="005513F2" w:rsidRPr="00D006D3">
        <w:rPr>
          <w:szCs w:val="22"/>
        </w:rPr>
        <w:t xml:space="preserve">9 Abs. </w:t>
      </w:r>
      <w:r w:rsidR="00D006D3" w:rsidRPr="00D006D3">
        <w:rPr>
          <w:szCs w:val="22"/>
        </w:rPr>
        <w:t>3</w:t>
      </w:r>
      <w:r w:rsidR="005513F2" w:rsidRPr="00D006D3">
        <w:rPr>
          <w:szCs w:val="22"/>
        </w:rPr>
        <w:t xml:space="preserve"> i.V.m. § 7 </w:t>
      </w:r>
      <w:r w:rsidR="002D724D" w:rsidRPr="00D006D3">
        <w:rPr>
          <w:szCs w:val="22"/>
        </w:rPr>
        <w:t xml:space="preserve">Abs. </w:t>
      </w:r>
      <w:r w:rsidR="00D006D3" w:rsidRPr="00D006D3">
        <w:rPr>
          <w:szCs w:val="22"/>
        </w:rPr>
        <w:t>1</w:t>
      </w:r>
      <w:r w:rsidR="002D724D" w:rsidRPr="00D006D3">
        <w:rPr>
          <w:szCs w:val="22"/>
        </w:rPr>
        <w:t xml:space="preserve"> </w:t>
      </w:r>
      <w:r w:rsidRPr="00D006D3">
        <w:rPr>
          <w:szCs w:val="22"/>
        </w:rPr>
        <w:t xml:space="preserve">UVPG festgestellt wurde, </w:t>
      </w:r>
      <w:r w:rsidR="005513F2" w:rsidRPr="00D006D3">
        <w:rPr>
          <w:szCs w:val="22"/>
        </w:rPr>
        <w:t>dass im Rahmen des Genehmigungsverfahrens eine Umweltverträglichkeitsprüfung (UVP) nicht erforderlich ist.</w:t>
      </w:r>
    </w:p>
    <w:p w:rsidR="005513F2" w:rsidRPr="00D006D3" w:rsidRDefault="005513F2">
      <w:pPr>
        <w:pStyle w:val="Textkrper2"/>
        <w:rPr>
          <w:szCs w:val="22"/>
          <w:highlight w:val="yellow"/>
        </w:rPr>
      </w:pPr>
    </w:p>
    <w:p w:rsidR="00D006D3" w:rsidRPr="00D006D3" w:rsidRDefault="00D006D3" w:rsidP="00D006D3">
      <w:pPr>
        <w:autoSpaceDE w:val="0"/>
        <w:autoSpaceDN w:val="0"/>
        <w:adjustRightInd w:val="0"/>
        <w:jc w:val="both"/>
        <w:rPr>
          <w:rFonts w:ascii="Arial" w:hAnsi="Arial" w:cs="Arial"/>
          <w:sz w:val="22"/>
          <w:szCs w:val="22"/>
        </w:rPr>
      </w:pPr>
      <w:r w:rsidRPr="00D006D3">
        <w:rPr>
          <w:rFonts w:ascii="Arial" w:hAnsi="Arial" w:cs="Arial"/>
          <w:sz w:val="22"/>
          <w:szCs w:val="22"/>
        </w:rPr>
        <w:t>Negative Auswirkungen auf das Schutzgut Mensch sind im Vergleich zum bislang angezeigten bzw. genehmigten Anlagenzustand nicht zu erwarten.</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 xml:space="preserve">Durch Rechtsverordnung festgesetzte Wasserschutzgebiete und Überschwemmungsgebiete werden durch das Vorhaben nicht berührt. </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Artenschutzrechtliche und -fachliche Belange stehen dem Vorhaben nicht entgegen. Gesetzlich geschützte Biotope werden nicht beeinträchtigt.</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Der Eingriff in das Schutzgut Boden (Versiegelung) wird durch geeignete Maßnahmen kompensiert.</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 xml:space="preserve">Anlage- oder baubedingte Gewässerquerungen, Gewässerausbau oder </w:t>
      </w:r>
      <w:proofErr w:type="spellStart"/>
      <w:r w:rsidRPr="00D006D3">
        <w:rPr>
          <w:rFonts w:ascii="Arial" w:hAnsi="Arial" w:cs="Arial"/>
          <w:sz w:val="22"/>
          <w:szCs w:val="22"/>
        </w:rPr>
        <w:t>Gewässerver</w:t>
      </w:r>
      <w:proofErr w:type="spellEnd"/>
      <w:r w:rsidRPr="00D006D3">
        <w:rPr>
          <w:rFonts w:ascii="Arial" w:hAnsi="Arial" w:cs="Arial"/>
          <w:sz w:val="22"/>
          <w:szCs w:val="22"/>
        </w:rPr>
        <w:t xml:space="preserve">-legungen finden nicht statt. Eine erhebliche Beeinträchtigung von Oberflächengewässern ist nicht zu erwarten. </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 xml:space="preserve">Im Bereich der neuen baulichen Anlagen anfallendes Niederschlagswasser wird an das vorhandene Regenwasserleitungssystem angeschlossen. </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 xml:space="preserve">Konflikte mit dem Schutzgut Luft/Klima sind ebenfalls nicht zu erwarten. </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 xml:space="preserve">Der Eingriff in das Landschaftsbild wird als gering und nicht erheblich bewertet, da die neuen baulichen Anlagen auf dem bestehenden Gelände der Tierhaltungsanlage errichtet werden. </w:t>
      </w:r>
    </w:p>
    <w:p w:rsidR="00D006D3" w:rsidRPr="00D006D3" w:rsidRDefault="00D006D3" w:rsidP="00D006D3">
      <w:pPr>
        <w:jc w:val="both"/>
        <w:rPr>
          <w:rFonts w:ascii="Arial" w:hAnsi="Arial" w:cs="Arial"/>
          <w:sz w:val="22"/>
          <w:szCs w:val="22"/>
        </w:rPr>
      </w:pPr>
    </w:p>
    <w:p w:rsidR="00D006D3" w:rsidRPr="00D006D3" w:rsidRDefault="00D006D3" w:rsidP="00D006D3">
      <w:pPr>
        <w:jc w:val="both"/>
        <w:rPr>
          <w:rFonts w:ascii="Arial" w:hAnsi="Arial" w:cs="Arial"/>
          <w:sz w:val="22"/>
          <w:szCs w:val="22"/>
        </w:rPr>
      </w:pPr>
      <w:r w:rsidRPr="00D006D3">
        <w:rPr>
          <w:rFonts w:ascii="Arial" w:hAnsi="Arial" w:cs="Arial"/>
          <w:sz w:val="22"/>
          <w:szCs w:val="22"/>
        </w:rPr>
        <w:t xml:space="preserve">Insgesamt ist somit nicht von erheblichen, nachteiligen Auswirkungen auf die Schutzgüter des § 2 Abs. 1 UVPG auszugehen. </w:t>
      </w:r>
    </w:p>
    <w:p w:rsidR="00D006D3" w:rsidRPr="00D006D3" w:rsidRDefault="00D006D3" w:rsidP="00D006D3">
      <w:pPr>
        <w:rPr>
          <w:rFonts w:ascii="Arial" w:hAnsi="Arial" w:cs="Arial"/>
          <w:sz w:val="22"/>
          <w:szCs w:val="22"/>
        </w:rPr>
      </w:pPr>
    </w:p>
    <w:p w:rsidR="005513F2" w:rsidRDefault="005513F2" w:rsidP="005513F2">
      <w:pPr>
        <w:jc w:val="both"/>
        <w:rPr>
          <w:rFonts w:ascii="Arial" w:eastAsia="MS Mincho" w:hAnsi="Arial"/>
          <w:sz w:val="22"/>
        </w:rPr>
      </w:pPr>
    </w:p>
    <w:p w:rsidR="005271D4" w:rsidRPr="005513F2" w:rsidRDefault="005271D4" w:rsidP="005271D4">
      <w:pPr>
        <w:jc w:val="both"/>
        <w:rPr>
          <w:rFonts w:ascii="Arial" w:hAnsi="Arial" w:cs="Arial"/>
          <w:sz w:val="22"/>
        </w:rPr>
      </w:pPr>
      <w:r w:rsidRPr="005513F2">
        <w:rPr>
          <w:rFonts w:ascii="Arial" w:hAnsi="Arial" w:cs="Arial"/>
          <w:sz w:val="22"/>
        </w:rPr>
        <w:t>Die</w:t>
      </w:r>
      <w:r w:rsidR="00E249B4">
        <w:rPr>
          <w:rFonts w:ascii="Arial" w:hAnsi="Arial" w:cs="Arial"/>
          <w:sz w:val="22"/>
        </w:rPr>
        <w:t>se</w:t>
      </w:r>
      <w:r w:rsidRPr="005513F2">
        <w:rPr>
          <w:rFonts w:ascii="Arial" w:hAnsi="Arial" w:cs="Arial"/>
          <w:sz w:val="22"/>
        </w:rPr>
        <w:t xml:space="preserve"> Feststellung ist gemäß § 5 Abs. 3 UVPG nicht selbständig anfechtbar. Beruht die Feststellung auf einer Vorprüfung, so ist die Einschätzung der zuständigen Behörde in einem gerichtlichen Verfahren betreffend die Zulassungsentscheidung nur daraufhin zu überprüfen, ob die Vorprüfung entsprechend den Vorgaben des § 7 UVPG durchgeführt worden ist und ob das Ergebnis nachvollziehbar ist. </w:t>
      </w:r>
    </w:p>
    <w:p w:rsidR="005271D4" w:rsidRDefault="005271D4" w:rsidP="005271D4">
      <w:pPr>
        <w:jc w:val="both"/>
        <w:rPr>
          <w:rFonts w:ascii="Arial" w:hAnsi="Arial" w:cs="Arial"/>
          <w:sz w:val="22"/>
        </w:rPr>
      </w:pPr>
    </w:p>
    <w:p w:rsidR="005271D4" w:rsidRPr="005513F2" w:rsidRDefault="005271D4" w:rsidP="005271D4">
      <w:pPr>
        <w:jc w:val="both"/>
        <w:rPr>
          <w:rFonts w:ascii="Arial" w:hAnsi="Arial" w:cs="Arial"/>
          <w:sz w:val="22"/>
        </w:rPr>
      </w:pPr>
      <w:r w:rsidRPr="005513F2">
        <w:rPr>
          <w:rFonts w:ascii="Arial" w:hAnsi="Arial" w:cs="Arial"/>
          <w:sz w:val="22"/>
        </w:rPr>
        <w:t>Die Entscheidungsgründe sind der Öffentlichkeit nach den Bestimmungen des Thüringer Umweltinfor</w:t>
      </w:r>
      <w:r w:rsidRPr="005513F2">
        <w:rPr>
          <w:rFonts w:ascii="Arial" w:hAnsi="Arial" w:cs="Arial"/>
          <w:sz w:val="22"/>
        </w:rPr>
        <w:softHyphen/>
        <w:t>mationsgesetzes (</w:t>
      </w:r>
      <w:proofErr w:type="spellStart"/>
      <w:r w:rsidRPr="005513F2">
        <w:rPr>
          <w:rFonts w:ascii="Arial" w:hAnsi="Arial" w:cs="Arial"/>
          <w:sz w:val="22"/>
        </w:rPr>
        <w:t>ThürUIG</w:t>
      </w:r>
      <w:proofErr w:type="spellEnd"/>
      <w:r w:rsidRPr="005513F2">
        <w:rPr>
          <w:rFonts w:ascii="Arial" w:hAnsi="Arial" w:cs="Arial"/>
          <w:sz w:val="22"/>
        </w:rPr>
        <w:t xml:space="preserve">) im Landratsamt des Unstrut-Hainich-Kreises, Fach-dienst Bau und Umwelt, Untere Immissionsschutzbehörde, </w:t>
      </w:r>
      <w:r w:rsidR="00D006D3">
        <w:rPr>
          <w:rFonts w:ascii="Arial" w:hAnsi="Arial" w:cs="Arial"/>
          <w:sz w:val="22"/>
        </w:rPr>
        <w:t>Lindenhof 1</w:t>
      </w:r>
      <w:r w:rsidRPr="005513F2">
        <w:rPr>
          <w:rFonts w:ascii="Arial" w:hAnsi="Arial" w:cs="Arial"/>
          <w:sz w:val="22"/>
        </w:rPr>
        <w:t>, 9997</w:t>
      </w:r>
      <w:r w:rsidR="00D006D3">
        <w:rPr>
          <w:rFonts w:ascii="Arial" w:hAnsi="Arial" w:cs="Arial"/>
          <w:sz w:val="22"/>
        </w:rPr>
        <w:t>4</w:t>
      </w:r>
      <w:r w:rsidRPr="005513F2">
        <w:rPr>
          <w:rFonts w:ascii="Arial" w:hAnsi="Arial" w:cs="Arial"/>
          <w:sz w:val="22"/>
        </w:rPr>
        <w:t xml:space="preserve"> </w:t>
      </w:r>
      <w:r w:rsidR="00D006D3">
        <w:rPr>
          <w:rFonts w:ascii="Arial" w:hAnsi="Arial" w:cs="Arial"/>
          <w:sz w:val="22"/>
        </w:rPr>
        <w:t>Mühlhausen</w:t>
      </w:r>
      <w:r w:rsidRPr="005513F2">
        <w:rPr>
          <w:rFonts w:ascii="Arial" w:hAnsi="Arial" w:cs="Arial"/>
          <w:sz w:val="22"/>
        </w:rPr>
        <w:t>, zugänglich.</w:t>
      </w:r>
    </w:p>
    <w:p w:rsidR="00D572C9" w:rsidRPr="005513F2" w:rsidRDefault="00D572C9">
      <w:pPr>
        <w:jc w:val="both"/>
        <w:rPr>
          <w:rFonts w:ascii="Arial" w:hAnsi="Arial" w:cs="Arial"/>
          <w:sz w:val="22"/>
        </w:rPr>
      </w:pPr>
    </w:p>
    <w:p w:rsidR="00D572C9" w:rsidRPr="005513F2" w:rsidRDefault="00D572C9">
      <w:pPr>
        <w:jc w:val="both"/>
        <w:rPr>
          <w:rFonts w:ascii="Arial" w:hAnsi="Arial" w:cs="Arial"/>
          <w:sz w:val="22"/>
        </w:rPr>
      </w:pPr>
    </w:p>
    <w:p w:rsidR="0009675E" w:rsidRDefault="0009675E">
      <w:pPr>
        <w:jc w:val="both"/>
        <w:rPr>
          <w:rFonts w:ascii="Arial" w:hAnsi="Arial" w:cs="Arial"/>
          <w:sz w:val="22"/>
        </w:rPr>
      </w:pPr>
    </w:p>
    <w:p w:rsidR="00372F46" w:rsidRPr="005513F2" w:rsidRDefault="00372F46">
      <w:pPr>
        <w:jc w:val="both"/>
        <w:rPr>
          <w:rFonts w:ascii="Arial" w:hAnsi="Arial" w:cs="Arial"/>
          <w:sz w:val="22"/>
        </w:rPr>
      </w:pPr>
    </w:p>
    <w:p w:rsidR="00D572C9" w:rsidRPr="005513F2" w:rsidRDefault="00D572C9">
      <w:pPr>
        <w:jc w:val="both"/>
        <w:rPr>
          <w:rFonts w:ascii="Arial" w:hAnsi="Arial" w:cs="Arial"/>
          <w:sz w:val="22"/>
        </w:rPr>
      </w:pPr>
      <w:r w:rsidRPr="005513F2">
        <w:rPr>
          <w:rFonts w:ascii="Arial" w:hAnsi="Arial" w:cs="Arial"/>
          <w:sz w:val="22"/>
        </w:rPr>
        <w:t xml:space="preserve">Mühlhausen, den </w:t>
      </w:r>
      <w:r w:rsidR="00862545">
        <w:rPr>
          <w:rFonts w:ascii="Arial" w:hAnsi="Arial" w:cs="Arial"/>
          <w:sz w:val="22"/>
        </w:rPr>
        <w:t>23</w:t>
      </w:r>
      <w:r w:rsidR="00472C59" w:rsidRPr="005513F2">
        <w:rPr>
          <w:rFonts w:ascii="Arial" w:hAnsi="Arial" w:cs="Arial"/>
          <w:sz w:val="22"/>
        </w:rPr>
        <w:t>.</w:t>
      </w:r>
      <w:r w:rsidR="00893709" w:rsidRPr="005513F2">
        <w:rPr>
          <w:rFonts w:ascii="Arial" w:hAnsi="Arial" w:cs="Arial"/>
          <w:sz w:val="22"/>
        </w:rPr>
        <w:t xml:space="preserve"> </w:t>
      </w:r>
      <w:r w:rsidR="00862545">
        <w:rPr>
          <w:rFonts w:ascii="Arial" w:hAnsi="Arial" w:cs="Arial"/>
          <w:sz w:val="22"/>
        </w:rPr>
        <w:t>Juni</w:t>
      </w:r>
      <w:bookmarkStart w:id="0" w:name="_GoBack"/>
      <w:bookmarkEnd w:id="0"/>
      <w:r w:rsidR="00D006D3">
        <w:rPr>
          <w:rFonts w:ascii="Arial" w:hAnsi="Arial" w:cs="Arial"/>
          <w:sz w:val="22"/>
        </w:rPr>
        <w:t xml:space="preserve"> </w:t>
      </w:r>
      <w:r w:rsidRPr="005513F2">
        <w:rPr>
          <w:rFonts w:ascii="Arial" w:hAnsi="Arial" w:cs="Arial"/>
          <w:sz w:val="22"/>
        </w:rPr>
        <w:t>20</w:t>
      </w:r>
      <w:r w:rsidR="005513F2">
        <w:rPr>
          <w:rFonts w:ascii="Arial" w:hAnsi="Arial" w:cs="Arial"/>
          <w:sz w:val="22"/>
        </w:rPr>
        <w:t>2</w:t>
      </w:r>
      <w:r w:rsidR="00D006D3">
        <w:rPr>
          <w:rFonts w:ascii="Arial" w:hAnsi="Arial" w:cs="Arial"/>
          <w:sz w:val="22"/>
        </w:rPr>
        <w:t>5</w:t>
      </w:r>
      <w:r w:rsidRPr="005513F2">
        <w:rPr>
          <w:rFonts w:ascii="Arial" w:hAnsi="Arial" w:cs="Arial"/>
          <w:sz w:val="22"/>
        </w:rPr>
        <w:t xml:space="preserve"> </w:t>
      </w:r>
      <w:r w:rsidR="009832F3"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00D006D3">
        <w:rPr>
          <w:rFonts w:ascii="Arial" w:hAnsi="Arial" w:cs="Arial"/>
          <w:sz w:val="22"/>
        </w:rPr>
        <w:t>Thomas Ahke</w:t>
      </w:r>
    </w:p>
    <w:p w:rsidR="00D572C9" w:rsidRDefault="00D572C9">
      <w:pPr>
        <w:jc w:val="both"/>
        <w:rPr>
          <w:rFonts w:ascii="Arial" w:hAnsi="Arial" w:cs="Arial"/>
          <w:sz w:val="22"/>
        </w:rPr>
      </w:pPr>
      <w:r w:rsidRPr="005513F2">
        <w:rPr>
          <w:rFonts w:ascii="Arial" w:hAnsi="Arial" w:cs="Arial"/>
          <w:sz w:val="22"/>
        </w:rPr>
        <w:t xml:space="preserve"> </w:t>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r>
      <w:r w:rsidRPr="005513F2">
        <w:rPr>
          <w:rFonts w:ascii="Arial" w:hAnsi="Arial" w:cs="Arial"/>
          <w:sz w:val="22"/>
        </w:rPr>
        <w:tab/>
        <w:t>Landrat</w:t>
      </w:r>
    </w:p>
    <w:sectPr w:rsidR="00D572C9" w:rsidSect="00893709">
      <w:pgSz w:w="11906" w:h="16838" w:code="9"/>
      <w:pgMar w:top="1276"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F28"/>
    <w:multiLevelType w:val="hybridMultilevel"/>
    <w:tmpl w:val="76A2A284"/>
    <w:lvl w:ilvl="0" w:tplc="BB02ED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C25B9"/>
    <w:multiLevelType w:val="hybridMultilevel"/>
    <w:tmpl w:val="261EBCB2"/>
    <w:lvl w:ilvl="0" w:tplc="4EEE71EE">
      <w:numFmt w:val="bullet"/>
      <w:lvlText w:val="-"/>
      <w:lvlJc w:val="left"/>
      <w:pPr>
        <w:ind w:left="720" w:hanging="360"/>
      </w:pPr>
      <w:rPr>
        <w:rFonts w:ascii="CIDFont+F4" w:eastAsiaTheme="minorHAnsi" w:hAnsi="CIDFont+F4" w:cs="CIDFont+F4"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BC5EBF"/>
    <w:multiLevelType w:val="hybridMultilevel"/>
    <w:tmpl w:val="711CAF1E"/>
    <w:lvl w:ilvl="0" w:tplc="E7F424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6962C1"/>
    <w:multiLevelType w:val="hybridMultilevel"/>
    <w:tmpl w:val="9CC8276C"/>
    <w:lvl w:ilvl="0" w:tplc="F148DFD6">
      <w:start w:val="2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DF"/>
    <w:rsid w:val="00007FC7"/>
    <w:rsid w:val="000154A2"/>
    <w:rsid w:val="00053D0E"/>
    <w:rsid w:val="0009675E"/>
    <w:rsid w:val="00155359"/>
    <w:rsid w:val="00165E58"/>
    <w:rsid w:val="001A0AF4"/>
    <w:rsid w:val="001B4146"/>
    <w:rsid w:val="0021574F"/>
    <w:rsid w:val="002569CE"/>
    <w:rsid w:val="00261F5F"/>
    <w:rsid w:val="00267616"/>
    <w:rsid w:val="00294653"/>
    <w:rsid w:val="002D724D"/>
    <w:rsid w:val="002E22B2"/>
    <w:rsid w:val="00332380"/>
    <w:rsid w:val="00347645"/>
    <w:rsid w:val="00372F46"/>
    <w:rsid w:val="0038331D"/>
    <w:rsid w:val="003B48DE"/>
    <w:rsid w:val="003D30D4"/>
    <w:rsid w:val="00472C59"/>
    <w:rsid w:val="00502EDF"/>
    <w:rsid w:val="005271D4"/>
    <w:rsid w:val="005513F2"/>
    <w:rsid w:val="00574E21"/>
    <w:rsid w:val="0058732A"/>
    <w:rsid w:val="00607C69"/>
    <w:rsid w:val="0063743D"/>
    <w:rsid w:val="00650951"/>
    <w:rsid w:val="00714560"/>
    <w:rsid w:val="007445A7"/>
    <w:rsid w:val="007658E9"/>
    <w:rsid w:val="007E5FBB"/>
    <w:rsid w:val="00820FE5"/>
    <w:rsid w:val="0083419C"/>
    <w:rsid w:val="00862545"/>
    <w:rsid w:val="00890FEA"/>
    <w:rsid w:val="00893709"/>
    <w:rsid w:val="00930B38"/>
    <w:rsid w:val="00964881"/>
    <w:rsid w:val="009705A0"/>
    <w:rsid w:val="009832F3"/>
    <w:rsid w:val="009869D0"/>
    <w:rsid w:val="009A585D"/>
    <w:rsid w:val="009B4EC1"/>
    <w:rsid w:val="009E6940"/>
    <w:rsid w:val="00AA374B"/>
    <w:rsid w:val="00AE30B5"/>
    <w:rsid w:val="00AF6978"/>
    <w:rsid w:val="00B304B3"/>
    <w:rsid w:val="00B33E50"/>
    <w:rsid w:val="00B802A2"/>
    <w:rsid w:val="00BE7A16"/>
    <w:rsid w:val="00C01BC8"/>
    <w:rsid w:val="00C11AAD"/>
    <w:rsid w:val="00C569BA"/>
    <w:rsid w:val="00C96FB4"/>
    <w:rsid w:val="00CA0864"/>
    <w:rsid w:val="00D006D3"/>
    <w:rsid w:val="00D572C9"/>
    <w:rsid w:val="00D86C99"/>
    <w:rsid w:val="00E064D0"/>
    <w:rsid w:val="00E249B4"/>
    <w:rsid w:val="00F64C70"/>
    <w:rsid w:val="00F77705"/>
    <w:rsid w:val="00F77B57"/>
    <w:rsid w:val="00F91A35"/>
    <w:rsid w:val="00FA762F"/>
    <w:rsid w:val="00FF57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38D1F"/>
  <w15:chartTrackingRefBased/>
  <w15:docId w15:val="{CC34C397-6164-4C12-A438-12401B4A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0"/>
    </w:rPr>
  </w:style>
  <w:style w:type="paragraph" w:styleId="Textkrper2">
    <w:name w:val="Body Text 2"/>
    <w:basedOn w:val="Standard"/>
    <w:semiHidden/>
    <w:pPr>
      <w:jc w:val="both"/>
    </w:pPr>
    <w:rPr>
      <w:rFonts w:ascii="Arial" w:hAnsi="Arial" w:cs="Arial"/>
      <w:sz w:val="22"/>
    </w:rPr>
  </w:style>
  <w:style w:type="paragraph" w:styleId="StandardWeb">
    <w:name w:val="Normal (Web)"/>
    <w:basedOn w:val="Standard"/>
    <w:uiPriority w:val="99"/>
    <w:semiHidden/>
    <w:unhideWhenUsed/>
    <w:rsid w:val="00472C59"/>
    <w:pPr>
      <w:spacing w:before="100" w:beforeAutospacing="1" w:after="100" w:afterAutospacing="1"/>
    </w:pPr>
  </w:style>
  <w:style w:type="character" w:styleId="Seitenzahl">
    <w:name w:val="page number"/>
    <w:semiHidden/>
    <w:rsid w:val="00964881"/>
  </w:style>
  <w:style w:type="paragraph" w:styleId="Sprechblasentext">
    <w:name w:val="Balloon Text"/>
    <w:basedOn w:val="Standard"/>
    <w:link w:val="SprechblasentextZchn"/>
    <w:uiPriority w:val="99"/>
    <w:semiHidden/>
    <w:unhideWhenUsed/>
    <w:rsid w:val="00294653"/>
    <w:rPr>
      <w:rFonts w:ascii="Segoe UI" w:hAnsi="Segoe UI" w:cs="Segoe UI"/>
      <w:sz w:val="18"/>
      <w:szCs w:val="18"/>
    </w:rPr>
  </w:style>
  <w:style w:type="character" w:customStyle="1" w:styleId="SprechblasentextZchn">
    <w:name w:val="Sprechblasentext Zchn"/>
    <w:link w:val="Sprechblasentext"/>
    <w:uiPriority w:val="99"/>
    <w:semiHidden/>
    <w:rsid w:val="00294653"/>
    <w:rPr>
      <w:rFonts w:ascii="Segoe UI" w:hAnsi="Segoe UI" w:cs="Segoe UI"/>
      <w:sz w:val="18"/>
      <w:szCs w:val="18"/>
    </w:rPr>
  </w:style>
  <w:style w:type="paragraph" w:styleId="Listenabsatz">
    <w:name w:val="List Paragraph"/>
    <w:basedOn w:val="Standard"/>
    <w:uiPriority w:val="34"/>
    <w:qFormat/>
    <w:rsid w:val="009B4EC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97441">
      <w:bodyDiv w:val="1"/>
      <w:marLeft w:val="0"/>
      <w:marRight w:val="0"/>
      <w:marTop w:val="0"/>
      <w:marBottom w:val="0"/>
      <w:divBdr>
        <w:top w:val="none" w:sz="0" w:space="0" w:color="auto"/>
        <w:left w:val="none" w:sz="0" w:space="0" w:color="auto"/>
        <w:bottom w:val="none" w:sz="0" w:space="0" w:color="auto"/>
        <w:right w:val="none" w:sz="0" w:space="0" w:color="auto"/>
      </w:divBdr>
      <w:divsChild>
        <w:div w:id="102725226">
          <w:marLeft w:val="0"/>
          <w:marRight w:val="0"/>
          <w:marTop w:val="0"/>
          <w:marBottom w:val="0"/>
          <w:divBdr>
            <w:top w:val="none" w:sz="0" w:space="0" w:color="auto"/>
            <w:left w:val="none" w:sz="0" w:space="0" w:color="auto"/>
            <w:bottom w:val="none" w:sz="0" w:space="0" w:color="auto"/>
            <w:right w:val="none" w:sz="0" w:space="0" w:color="auto"/>
          </w:divBdr>
        </w:div>
        <w:div w:id="154154445">
          <w:marLeft w:val="0"/>
          <w:marRight w:val="0"/>
          <w:marTop w:val="0"/>
          <w:marBottom w:val="0"/>
          <w:divBdr>
            <w:top w:val="none" w:sz="0" w:space="0" w:color="auto"/>
            <w:left w:val="none" w:sz="0" w:space="0" w:color="auto"/>
            <w:bottom w:val="none" w:sz="0" w:space="0" w:color="auto"/>
            <w:right w:val="none" w:sz="0" w:space="0" w:color="auto"/>
          </w:divBdr>
        </w:div>
        <w:div w:id="387801725">
          <w:marLeft w:val="0"/>
          <w:marRight w:val="0"/>
          <w:marTop w:val="0"/>
          <w:marBottom w:val="0"/>
          <w:divBdr>
            <w:top w:val="none" w:sz="0" w:space="0" w:color="auto"/>
            <w:left w:val="none" w:sz="0" w:space="0" w:color="auto"/>
            <w:bottom w:val="none" w:sz="0" w:space="0" w:color="auto"/>
            <w:right w:val="none" w:sz="0" w:space="0" w:color="auto"/>
          </w:divBdr>
        </w:div>
        <w:div w:id="826626102">
          <w:marLeft w:val="0"/>
          <w:marRight w:val="0"/>
          <w:marTop w:val="0"/>
          <w:marBottom w:val="0"/>
          <w:divBdr>
            <w:top w:val="none" w:sz="0" w:space="0" w:color="auto"/>
            <w:left w:val="none" w:sz="0" w:space="0" w:color="auto"/>
            <w:bottom w:val="none" w:sz="0" w:space="0" w:color="auto"/>
            <w:right w:val="none" w:sz="0" w:space="0" w:color="auto"/>
          </w:divBdr>
        </w:div>
        <w:div w:id="1004628711">
          <w:marLeft w:val="0"/>
          <w:marRight w:val="0"/>
          <w:marTop w:val="0"/>
          <w:marBottom w:val="0"/>
          <w:divBdr>
            <w:top w:val="none" w:sz="0" w:space="0" w:color="auto"/>
            <w:left w:val="none" w:sz="0" w:space="0" w:color="auto"/>
            <w:bottom w:val="none" w:sz="0" w:space="0" w:color="auto"/>
            <w:right w:val="none" w:sz="0" w:space="0" w:color="auto"/>
          </w:divBdr>
        </w:div>
        <w:div w:id="1055010203">
          <w:marLeft w:val="0"/>
          <w:marRight w:val="0"/>
          <w:marTop w:val="0"/>
          <w:marBottom w:val="0"/>
          <w:divBdr>
            <w:top w:val="none" w:sz="0" w:space="0" w:color="auto"/>
            <w:left w:val="none" w:sz="0" w:space="0" w:color="auto"/>
            <w:bottom w:val="none" w:sz="0" w:space="0" w:color="auto"/>
            <w:right w:val="none" w:sz="0" w:space="0" w:color="auto"/>
          </w:divBdr>
        </w:div>
        <w:div w:id="1184318961">
          <w:marLeft w:val="0"/>
          <w:marRight w:val="0"/>
          <w:marTop w:val="0"/>
          <w:marBottom w:val="0"/>
          <w:divBdr>
            <w:top w:val="none" w:sz="0" w:space="0" w:color="auto"/>
            <w:left w:val="none" w:sz="0" w:space="0" w:color="auto"/>
            <w:bottom w:val="none" w:sz="0" w:space="0" w:color="auto"/>
            <w:right w:val="none" w:sz="0" w:space="0" w:color="auto"/>
          </w:divBdr>
        </w:div>
        <w:div w:id="1327049387">
          <w:marLeft w:val="0"/>
          <w:marRight w:val="0"/>
          <w:marTop w:val="0"/>
          <w:marBottom w:val="0"/>
          <w:divBdr>
            <w:top w:val="none" w:sz="0" w:space="0" w:color="auto"/>
            <w:left w:val="none" w:sz="0" w:space="0" w:color="auto"/>
            <w:bottom w:val="none" w:sz="0" w:space="0" w:color="auto"/>
            <w:right w:val="none" w:sz="0" w:space="0" w:color="auto"/>
          </w:divBdr>
        </w:div>
        <w:div w:id="1401975966">
          <w:marLeft w:val="0"/>
          <w:marRight w:val="0"/>
          <w:marTop w:val="0"/>
          <w:marBottom w:val="0"/>
          <w:divBdr>
            <w:top w:val="none" w:sz="0" w:space="0" w:color="auto"/>
            <w:left w:val="none" w:sz="0" w:space="0" w:color="auto"/>
            <w:bottom w:val="none" w:sz="0" w:space="0" w:color="auto"/>
            <w:right w:val="none" w:sz="0" w:space="0" w:color="auto"/>
          </w:divBdr>
        </w:div>
        <w:div w:id="1445349238">
          <w:marLeft w:val="0"/>
          <w:marRight w:val="0"/>
          <w:marTop w:val="0"/>
          <w:marBottom w:val="0"/>
          <w:divBdr>
            <w:top w:val="none" w:sz="0" w:space="0" w:color="auto"/>
            <w:left w:val="none" w:sz="0" w:space="0" w:color="auto"/>
            <w:bottom w:val="none" w:sz="0" w:space="0" w:color="auto"/>
            <w:right w:val="none" w:sz="0" w:space="0" w:color="auto"/>
          </w:divBdr>
        </w:div>
        <w:div w:id="1982417931">
          <w:marLeft w:val="0"/>
          <w:marRight w:val="0"/>
          <w:marTop w:val="0"/>
          <w:marBottom w:val="0"/>
          <w:divBdr>
            <w:top w:val="none" w:sz="0" w:space="0" w:color="auto"/>
            <w:left w:val="none" w:sz="0" w:space="0" w:color="auto"/>
            <w:bottom w:val="none" w:sz="0" w:space="0" w:color="auto"/>
            <w:right w:val="none" w:sz="0" w:space="0" w:color="auto"/>
          </w:divBdr>
        </w:div>
        <w:div w:id="208012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Öffentliche Bekanntmachung des Landratsamtes zur Einzelfallprüfung gemäß § 3a des Gesetzes über die Umweltverträglichkeitsprüf</vt:lpstr>
    </vt:vector>
  </TitlesOfParts>
  <Company>LRA Unstrut-Hainich-Kreis</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 des Landratsamtes zur Einzelfallprüfung gemäß § 3a des Gesetzes über die Umweltverträglichkeitsprüf</dc:title>
  <dc:subject/>
  <dc:creator>4233</dc:creator>
  <cp:keywords/>
  <cp:lastModifiedBy>Enders, T.</cp:lastModifiedBy>
  <cp:revision>6</cp:revision>
  <cp:lastPrinted>2020-08-07T06:16:00Z</cp:lastPrinted>
  <dcterms:created xsi:type="dcterms:W3CDTF">2025-02-12T09:48:00Z</dcterms:created>
  <dcterms:modified xsi:type="dcterms:W3CDTF">2025-06-23T08:04:00Z</dcterms:modified>
</cp:coreProperties>
</file>