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B239" w14:textId="77777777" w:rsidR="00C0230C" w:rsidRDefault="00C0230C" w:rsidP="00C0230C">
      <w:pPr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Bekanntgabe</w:t>
      </w:r>
    </w:p>
    <w:p w14:paraId="3C7DB23A" w14:textId="77777777" w:rsidR="00C0230C" w:rsidRPr="00472C01" w:rsidRDefault="00C0230C" w:rsidP="00C0230C">
      <w:pPr>
        <w:jc w:val="center"/>
        <w:rPr>
          <w:rFonts w:ascii="Arial" w:hAnsi="Arial" w:cs="Arial"/>
          <w:sz w:val="22"/>
          <w:szCs w:val="22"/>
        </w:rPr>
      </w:pPr>
    </w:p>
    <w:p w14:paraId="3C7DB23C" w14:textId="3D989DB1" w:rsidR="00C0230C" w:rsidRPr="000F41BA" w:rsidRDefault="000F41BA" w:rsidP="00C0230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F41BA">
        <w:rPr>
          <w:rFonts w:ascii="Arial" w:hAnsi="Arial" w:cs="Arial"/>
          <w:sz w:val="22"/>
          <w:szCs w:val="22"/>
        </w:rPr>
        <w:t xml:space="preserve">Die Firma Scholz Recycling GmbH, Stotternheimer Straße 45, 99086 Erfurt, stellte beim Thüringer Landesamt für Umwelt, Bergbau und Naturschutz (TLUBN) einen Antrag auf Erteilung einer Genehmigung nach § 16 Bundes-Immissionsschutzgesetz (BImSchG) zur wesentlichen Änderung Ihrer Schrottrecyclinganlage am Standort Arnstadt im Ilmkreis, 99310 Arnstadt, </w:t>
      </w:r>
      <w:r>
        <w:rPr>
          <w:rFonts w:ascii="Arial" w:hAnsi="Arial" w:cs="Arial"/>
          <w:sz w:val="22"/>
          <w:szCs w:val="22"/>
        </w:rPr>
        <w:t>Ichtershäuser Straße 57</w:t>
      </w:r>
      <w:r w:rsidRPr="000F41BA">
        <w:rPr>
          <w:rFonts w:ascii="Arial" w:hAnsi="Arial" w:cs="Arial"/>
          <w:sz w:val="22"/>
          <w:szCs w:val="22"/>
        </w:rPr>
        <w:t>.</w:t>
      </w:r>
    </w:p>
    <w:p w14:paraId="448D5526" w14:textId="77777777" w:rsidR="000F41BA" w:rsidRDefault="000F41BA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7DB23D" w14:textId="2EDF2937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s handelt sich um ein Vorhaben, für welches nach Anlage 1 Nr</w:t>
      </w:r>
      <w:r w:rsidR="006E4DB5" w:rsidRPr="004E330F">
        <w:rPr>
          <w:rFonts w:ascii="Arial" w:hAnsi="Arial" w:cs="Arial"/>
          <w:color w:val="000000" w:themeColor="text1"/>
          <w:sz w:val="22"/>
          <w:szCs w:val="22"/>
        </w:rPr>
        <w:t>. 8.7.1.1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des Gesetzes über die Umweltverträglichkeitsprüfung (UVPG)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eine 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>allgemeine Vorprüfung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des Einzelfalls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zu erfolgen hat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3CF2EE" w14:textId="37406708" w:rsidR="000F41BA" w:rsidRDefault="000F41BA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BD7E31" w14:textId="1E831181" w:rsidR="000F41BA" w:rsidRPr="003D1522" w:rsidRDefault="000F41BA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41BA">
        <w:rPr>
          <w:rFonts w:ascii="Arial" w:hAnsi="Arial" w:cs="Arial"/>
          <w:color w:val="000000" w:themeColor="text1"/>
          <w:sz w:val="22"/>
          <w:szCs w:val="22"/>
        </w:rPr>
        <w:t>Geplant ist der Ersatz der bestehenden Schrottschere durch eine neue Schere</w:t>
      </w:r>
      <w:r w:rsidR="0034247B"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 w:rsidRPr="000F41BA">
        <w:rPr>
          <w:rFonts w:ascii="Arial" w:hAnsi="Arial" w:cs="Arial"/>
          <w:color w:val="000000" w:themeColor="text1"/>
          <w:sz w:val="22"/>
          <w:szCs w:val="22"/>
        </w:rPr>
        <w:t xml:space="preserve"> Erhöhung der Behandlungsmenge </w:t>
      </w:r>
      <w:r w:rsidR="0034247B" w:rsidRPr="000F41BA">
        <w:rPr>
          <w:rFonts w:ascii="Arial" w:hAnsi="Arial" w:cs="Arial"/>
          <w:color w:val="000000" w:themeColor="text1"/>
          <w:sz w:val="22"/>
          <w:szCs w:val="22"/>
        </w:rPr>
        <w:t xml:space="preserve">von 300 t/d </w:t>
      </w:r>
      <w:r w:rsidRPr="000F41BA">
        <w:rPr>
          <w:rFonts w:ascii="Arial" w:hAnsi="Arial" w:cs="Arial"/>
          <w:color w:val="000000" w:themeColor="text1"/>
          <w:sz w:val="22"/>
          <w:szCs w:val="22"/>
        </w:rPr>
        <w:t xml:space="preserve">auf insgesamt </w:t>
      </w:r>
      <w:r w:rsidR="00BF3E24" w:rsidRPr="000F41BA">
        <w:rPr>
          <w:rFonts w:ascii="Arial" w:hAnsi="Arial" w:cs="Arial"/>
          <w:color w:val="000000" w:themeColor="text1"/>
          <w:sz w:val="22"/>
          <w:szCs w:val="22"/>
        </w:rPr>
        <w:t>max.</w:t>
      </w:r>
      <w:r w:rsidR="00BF3E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41BA">
        <w:rPr>
          <w:rFonts w:ascii="Arial" w:hAnsi="Arial" w:cs="Arial"/>
          <w:color w:val="000000" w:themeColor="text1"/>
          <w:sz w:val="22"/>
          <w:szCs w:val="22"/>
        </w:rPr>
        <w:t xml:space="preserve">500 t/d an nicht gefährlichen Abfällen, die Erhöhung des Durchsatzes der Brikettierpresse von bisher 0,9 t/d auf max. 8 </w:t>
      </w:r>
      <w:r w:rsidR="0034247B">
        <w:rPr>
          <w:rFonts w:ascii="Arial" w:hAnsi="Arial" w:cs="Arial"/>
          <w:color w:val="000000" w:themeColor="text1"/>
          <w:sz w:val="22"/>
          <w:szCs w:val="22"/>
        </w:rPr>
        <w:t>t/d an gefährlichen Abfällen.</w:t>
      </w:r>
    </w:p>
    <w:p w14:paraId="3C7DB23E" w14:textId="77777777" w:rsidR="00C0230C" w:rsidRPr="003D1522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7DB241" w14:textId="77777777" w:rsidR="00C0230C" w:rsidRPr="00E14F54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Gemäß § 5 Abs. 2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UVPG wird bekannt gegeben:</w:t>
      </w:r>
    </w:p>
    <w:p w14:paraId="3C7DB242" w14:textId="062FA6F0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Aufgrund der 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allgemeinen Vorprüfung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des Einzelfalls </w:t>
      </w:r>
      <w:r w:rsidRPr="005D0F94">
        <w:rPr>
          <w:rFonts w:ascii="Arial" w:hAnsi="Arial" w:cs="Arial"/>
          <w:sz w:val="22"/>
          <w:szCs w:val="22"/>
        </w:rPr>
        <w:t xml:space="preserve">gemäß § 7 Abs. 1 UVPG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wird festgestellt, dass </w:t>
      </w:r>
      <w:r>
        <w:rPr>
          <w:rFonts w:ascii="Arial" w:hAnsi="Arial" w:cs="Arial"/>
          <w:color w:val="000000" w:themeColor="text1"/>
          <w:sz w:val="22"/>
          <w:szCs w:val="22"/>
        </w:rPr>
        <w:t>die Anlage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 keine erheblichen nachteiligen Umwelteinwirkungen hervorrufen kann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somit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keine UVP-Pflicht besteht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Nach Prüfung der Kriterien der Anlage 3 zum UVPG ergibt sich dies im Wesentlichen aus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den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folgenden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Gründe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n: </w:t>
      </w:r>
    </w:p>
    <w:p w14:paraId="3C7DB243" w14:textId="77777777" w:rsidR="00C0230C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E94E7C" w14:textId="4781646C" w:rsidR="004E330F" w:rsidRDefault="004E330F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330F">
        <w:rPr>
          <w:rFonts w:ascii="Arial" w:hAnsi="Arial" w:cs="Arial"/>
          <w:color w:val="000000" w:themeColor="text1"/>
          <w:sz w:val="22"/>
          <w:szCs w:val="22"/>
        </w:rPr>
        <w:t>Die Schrottrecyclinganlage liegt in einem Gewerbegebiet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.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D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as Betriebsgelände wird seit den </w:t>
      </w:r>
      <w:r w:rsidR="00F62D6D">
        <w:rPr>
          <w:rFonts w:ascii="Arial" w:hAnsi="Arial" w:cs="Arial"/>
          <w:color w:val="000000" w:themeColor="text1"/>
          <w:sz w:val="22"/>
          <w:szCs w:val="22"/>
        </w:rPr>
        <w:t>fünfzig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er Jahren als Schrottplatz genutzt. Es ist keine Erweiterung des Betriebsgeländes geplant und es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werden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keine Bauarbeiten neben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Demontage und Montage der Schrottschere erforderlich.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Die Betriebszeiten </w:t>
      </w:r>
      <w:r w:rsidR="002E4F1A">
        <w:rPr>
          <w:rFonts w:ascii="Arial" w:hAnsi="Arial" w:cs="Arial"/>
          <w:color w:val="000000" w:themeColor="text1"/>
          <w:sz w:val="22"/>
          <w:szCs w:val="22"/>
        </w:rPr>
        <w:t xml:space="preserve">und Inputmaterialien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der Anlage ändern sich nicht.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Der Standort weist eine überwiegend versiegelte, bzw. befestigte Betriebsfläche auf, es sind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hier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keine schützenswerten Biotope bekannt.</w:t>
      </w:r>
      <w:r w:rsidRPr="004E330F">
        <w:t xml:space="preserve">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Die neue Schrottschere für die maschinelle Zerkl</w:t>
      </w:r>
      <w:r w:rsidR="000F41BA">
        <w:rPr>
          <w:rFonts w:ascii="Arial" w:hAnsi="Arial" w:cs="Arial"/>
          <w:color w:val="000000" w:themeColor="text1"/>
          <w:sz w:val="22"/>
          <w:szCs w:val="22"/>
        </w:rPr>
        <w:t xml:space="preserve">einerung der Schrotte arbeitet energieeffizienter und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leiser als die alte Schrottschere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4E330F">
        <w:t xml:space="preserve"> </w:t>
      </w:r>
      <w:r w:rsidR="005A35CC" w:rsidRPr="005A35CC">
        <w:rPr>
          <w:rFonts w:ascii="Arial" w:hAnsi="Arial" w:cs="Arial"/>
          <w:color w:val="000000" w:themeColor="text1"/>
          <w:sz w:val="22"/>
          <w:szCs w:val="22"/>
        </w:rPr>
        <w:t xml:space="preserve">Laut Schallimmissionsprognose werden auch nach Umsetzung des beantragten Änderungsgegenstandes am oben genannten maßgeblichen Immissionsort „Mühlweg 11“ sowohl der Immissionsrichtwert nach TA Lärm als auch der zulässige Immissionsanteil (IA) sicher eingehalten.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in einer Halle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aufgestellte,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gekapselt ausgeführte Brikettpresse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 wird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 keine neuen Abfälle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>verarbeiten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Trotz Durchsatzerhöhung werden </w:t>
      </w:r>
      <w:r w:rsidR="005A35CC">
        <w:rPr>
          <w:rFonts w:ascii="Arial" w:hAnsi="Arial" w:cs="Arial"/>
          <w:color w:val="000000" w:themeColor="text1"/>
          <w:sz w:val="22"/>
          <w:szCs w:val="22"/>
        </w:rPr>
        <w:t xml:space="preserve">sich 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>die Dauer und Häufigkeit der Emissionen der Anlagen nicht wesentlich veränder</w:t>
      </w:r>
      <w:r w:rsidR="000F41BA">
        <w:rPr>
          <w:rFonts w:ascii="Arial" w:hAnsi="Arial" w:cs="Arial"/>
          <w:color w:val="000000" w:themeColor="text1"/>
          <w:sz w:val="22"/>
          <w:szCs w:val="22"/>
        </w:rPr>
        <w:t>n</w:t>
      </w:r>
      <w:r w:rsidRPr="004E330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961B945" w14:textId="77777777" w:rsidR="004E330F" w:rsidRDefault="004E330F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7DB246" w14:textId="0074BC20" w:rsidR="00C0230C" w:rsidRPr="00B234CF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Es wird darauf hingewiesen, dass gemäß § 5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Abs. 3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UVPG diese Entscheidung nicht selbstständig anfechtbar ist. Die Entscheidungsgründe sind der Öffentlichkeit nach den Bestimmungen des Thüringer Umweltinformationsgesetzes (ThürUIG) im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Thüringer Landesamt für Umwelt, Bergbau und Naturschutz,</w:t>
      </w:r>
      <w:r w:rsidR="002356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Außenstelle Weimar, Dienstgebäude 1),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Referat </w:t>
      </w:r>
      <w:r w:rsidR="00235630">
        <w:rPr>
          <w:rFonts w:ascii="Arial" w:hAnsi="Arial" w:cs="Arial"/>
          <w:color w:val="000000" w:themeColor="text1"/>
          <w:sz w:val="22"/>
          <w:szCs w:val="22"/>
        </w:rPr>
        <w:t>61,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5630">
        <w:rPr>
          <w:rFonts w:ascii="Arial" w:hAnsi="Arial" w:cs="Arial"/>
          <w:color w:val="000000" w:themeColor="text1"/>
          <w:sz w:val="22"/>
          <w:szCs w:val="22"/>
        </w:rPr>
        <w:t>Immissionsschutz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Harry-Graf-Kessler-Straße 1,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 99423 Weimar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>zugänglich.</w:t>
      </w:r>
    </w:p>
    <w:p w14:paraId="3C7DB247" w14:textId="77777777" w:rsidR="00C0230C" w:rsidRDefault="00C0230C" w:rsidP="00C023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C7DB248" w14:textId="77777777" w:rsidR="00C0230C" w:rsidRPr="003D1522" w:rsidRDefault="00C0230C" w:rsidP="00C0230C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Diese Bekanntgabe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 wird auch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auf der Homepage des TLUBN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www.tlubn.</w:t>
        </w:r>
        <w:r w:rsidRPr="00F6267D">
          <w:rPr>
            <w:rStyle w:val="Hyperlink"/>
            <w:rFonts w:ascii="Arial" w:hAnsi="Arial" w:cs="Arial"/>
            <w:sz w:val="22"/>
            <w:szCs w:val="22"/>
          </w:rPr>
          <w:t>thueringen.de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) unter „Amtliche B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 xml:space="preserve">ekanntmachungen“ </w:t>
      </w:r>
      <w:r>
        <w:rPr>
          <w:rFonts w:ascii="Arial" w:hAnsi="Arial" w:cs="Arial"/>
          <w:color w:val="000000" w:themeColor="text1"/>
          <w:sz w:val="22"/>
          <w:szCs w:val="22"/>
        </w:rPr>
        <w:t>veröffentlicht.</w:t>
      </w:r>
    </w:p>
    <w:p w14:paraId="3C7DB249" w14:textId="77777777" w:rsidR="00C0230C" w:rsidRDefault="00C0230C" w:rsidP="00C0230C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4B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Jena, den</w:t>
      </w:r>
      <w:r>
        <w:rPr>
          <w:rFonts w:ascii="Arial" w:hAnsi="Arial" w:cs="Arial"/>
          <w:sz w:val="22"/>
          <w:szCs w:val="22"/>
        </w:rPr>
        <w:tab/>
      </w:r>
    </w:p>
    <w:p w14:paraId="3C7DB24D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4E" w14:textId="77777777" w:rsidR="00C0230C" w:rsidRPr="00472C01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Thüringer Landesamt für Umwelt,</w:t>
      </w:r>
      <w:r>
        <w:rPr>
          <w:rFonts w:ascii="Arial" w:hAnsi="Arial" w:cs="Arial"/>
          <w:sz w:val="22"/>
          <w:szCs w:val="22"/>
        </w:rPr>
        <w:t xml:space="preserve"> </w:t>
      </w:r>
      <w:r w:rsidRPr="000B2F14">
        <w:rPr>
          <w:rFonts w:ascii="Arial" w:hAnsi="Arial" w:cs="Arial"/>
          <w:sz w:val="22"/>
          <w:szCs w:val="22"/>
        </w:rPr>
        <w:t>Bergbau und Naturschutz</w:t>
      </w:r>
      <w:r w:rsidRPr="000B2F14">
        <w:rPr>
          <w:rFonts w:ascii="Arial" w:hAnsi="Arial" w:cs="Arial"/>
          <w:sz w:val="22"/>
          <w:szCs w:val="22"/>
        </w:rPr>
        <w:cr/>
      </w:r>
      <w:r w:rsidRPr="00472C01">
        <w:rPr>
          <w:rFonts w:ascii="Arial" w:hAnsi="Arial" w:cs="Arial"/>
          <w:sz w:val="22"/>
          <w:szCs w:val="22"/>
        </w:rPr>
        <w:t>Der Präsident</w:t>
      </w:r>
    </w:p>
    <w:p w14:paraId="3C7DB251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52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53" w14:textId="77777777" w:rsidR="00C0230C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54" w14:textId="77777777" w:rsidR="00C0230C" w:rsidRPr="00FF63EF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Mario Suckert</w:t>
      </w:r>
    </w:p>
    <w:tbl>
      <w:tblPr>
        <w:tblW w:w="6903" w:type="dxa"/>
        <w:tblInd w:w="2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2"/>
      </w:tblGrid>
      <w:tr w:rsidR="00C0230C" w:rsidRPr="00E63792" w14:paraId="3C7DB259" w14:textId="77777777" w:rsidTr="00082927">
        <w:tc>
          <w:tcPr>
            <w:tcW w:w="2300" w:type="dxa"/>
            <w:shd w:val="clear" w:color="auto" w:fill="auto"/>
          </w:tcPr>
          <w:p w14:paraId="3C7DB255" w14:textId="77777777" w:rsidR="00C0230C" w:rsidRPr="00E63792" w:rsidRDefault="00C0230C" w:rsidP="00082927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63792">
              <w:rPr>
                <w:rFonts w:ascii="Arial" w:hAnsi="Arial"/>
                <w:b/>
                <w:sz w:val="22"/>
                <w:szCs w:val="20"/>
              </w:rPr>
              <w:lastRenderedPageBreak/>
              <w:t>AL</w:t>
            </w:r>
            <w:r>
              <w:rPr>
                <w:rFonts w:ascii="Arial" w:hAnsi="Arial"/>
                <w:b/>
                <w:sz w:val="22"/>
                <w:szCs w:val="20"/>
              </w:rPr>
              <w:t>in</w:t>
            </w:r>
            <w:r w:rsidRPr="00E63792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0"/>
              </w:rPr>
              <w:t>6</w:t>
            </w:r>
          </w:p>
          <w:p w14:paraId="3C7DB256" w14:textId="77777777" w:rsidR="00C0230C" w:rsidRPr="00E63792" w:rsidRDefault="00C0230C" w:rsidP="00082927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3C7DB257" w14:textId="77777777" w:rsidR="00C0230C" w:rsidRPr="00E63792" w:rsidRDefault="00C0230C" w:rsidP="00082927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63792">
              <w:rPr>
                <w:rFonts w:ascii="Arial" w:hAnsi="Arial"/>
                <w:b/>
                <w:sz w:val="22"/>
                <w:szCs w:val="20"/>
              </w:rPr>
              <w:t xml:space="preserve">RL </w:t>
            </w:r>
            <w:r>
              <w:rPr>
                <w:rFonts w:ascii="Arial" w:hAnsi="Arial"/>
                <w:b/>
                <w:sz w:val="22"/>
                <w:szCs w:val="20"/>
              </w:rPr>
              <w:t>61</w:t>
            </w:r>
          </w:p>
        </w:tc>
        <w:tc>
          <w:tcPr>
            <w:tcW w:w="2302" w:type="dxa"/>
            <w:shd w:val="clear" w:color="auto" w:fill="auto"/>
          </w:tcPr>
          <w:p w14:paraId="3C7DB258" w14:textId="77777777" w:rsidR="00C0230C" w:rsidRPr="00E63792" w:rsidRDefault="00C0230C" w:rsidP="00082927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SB 61</w:t>
            </w:r>
          </w:p>
        </w:tc>
      </w:tr>
      <w:tr w:rsidR="00C0230C" w:rsidRPr="00E63792" w14:paraId="3C7DB25E" w14:textId="77777777" w:rsidTr="00082927">
        <w:tc>
          <w:tcPr>
            <w:tcW w:w="2300" w:type="dxa"/>
            <w:shd w:val="clear" w:color="auto" w:fill="auto"/>
          </w:tcPr>
          <w:p w14:paraId="3C7DB25A" w14:textId="77777777" w:rsidR="00C0230C" w:rsidRDefault="00C0230C" w:rsidP="00082927">
            <w:pPr>
              <w:rPr>
                <w:rFonts w:ascii="Arial" w:hAnsi="Arial"/>
                <w:sz w:val="22"/>
                <w:szCs w:val="20"/>
              </w:rPr>
            </w:pPr>
          </w:p>
          <w:p w14:paraId="3C7DB25B" w14:textId="77777777" w:rsidR="00C0230C" w:rsidRPr="00E63792" w:rsidRDefault="00C0230C" w:rsidP="00082927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3C7DB25C" w14:textId="77777777" w:rsidR="00C0230C" w:rsidRPr="00E63792" w:rsidRDefault="00C0230C" w:rsidP="00082927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3C7DB25D" w14:textId="77777777" w:rsidR="00C0230C" w:rsidRPr="00E63792" w:rsidRDefault="00C0230C" w:rsidP="00082927">
            <w:pPr>
              <w:rPr>
                <w:rFonts w:ascii="Arial" w:hAnsi="Arial"/>
                <w:sz w:val="22"/>
                <w:szCs w:val="20"/>
              </w:rPr>
            </w:pPr>
          </w:p>
        </w:tc>
      </w:tr>
    </w:tbl>
    <w:p w14:paraId="3C7DB25F" w14:textId="77777777" w:rsidR="00C0230C" w:rsidRPr="00FF63EF" w:rsidRDefault="00C0230C" w:rsidP="00C0230C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C7DB260" w14:textId="77777777" w:rsidR="003135EE" w:rsidRPr="00C0230C" w:rsidRDefault="003135EE" w:rsidP="00C0230C"/>
    <w:sectPr w:rsidR="003135EE" w:rsidRPr="00C02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2A"/>
    <w:rsid w:val="000D5E4B"/>
    <w:rsid w:val="000F41BA"/>
    <w:rsid w:val="0018081A"/>
    <w:rsid w:val="001A7117"/>
    <w:rsid w:val="00235630"/>
    <w:rsid w:val="0028655C"/>
    <w:rsid w:val="002E4F1A"/>
    <w:rsid w:val="003135EE"/>
    <w:rsid w:val="0034247B"/>
    <w:rsid w:val="003C1554"/>
    <w:rsid w:val="00432E2A"/>
    <w:rsid w:val="00443CAB"/>
    <w:rsid w:val="00451409"/>
    <w:rsid w:val="0048332D"/>
    <w:rsid w:val="0049510A"/>
    <w:rsid w:val="004B1E8C"/>
    <w:rsid w:val="004E330F"/>
    <w:rsid w:val="005A35CC"/>
    <w:rsid w:val="006E4DB5"/>
    <w:rsid w:val="007B53D8"/>
    <w:rsid w:val="009049FB"/>
    <w:rsid w:val="00B2523A"/>
    <w:rsid w:val="00BB5A86"/>
    <w:rsid w:val="00BF3E24"/>
    <w:rsid w:val="00C0230C"/>
    <w:rsid w:val="00F62D6D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B234"/>
  <w15:chartTrackingRefBased/>
  <w15:docId w15:val="{F5176B92-8613-4B1F-8D4F-D9644B8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2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ubn-thuer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TLUBN Sander, Winfried</dc:creator>
  <cp:keywords/>
  <dc:description/>
  <cp:lastModifiedBy>TLUBN Helm, Christian</cp:lastModifiedBy>
  <cp:revision>2</cp:revision>
  <dcterms:created xsi:type="dcterms:W3CDTF">2022-06-09T07:08:00Z</dcterms:created>
  <dcterms:modified xsi:type="dcterms:W3CDTF">2022-06-09T07:08:00Z</dcterms:modified>
</cp:coreProperties>
</file>