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A679" w14:textId="77777777" w:rsidR="00C0230C" w:rsidRDefault="00C0230C" w:rsidP="00C0230C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Bekanntgabe</w:t>
      </w:r>
    </w:p>
    <w:p w14:paraId="669D6285" w14:textId="77777777" w:rsidR="00C0230C" w:rsidRPr="00472C01" w:rsidRDefault="00C0230C" w:rsidP="00C0230C">
      <w:pPr>
        <w:jc w:val="center"/>
        <w:rPr>
          <w:rFonts w:ascii="Arial" w:hAnsi="Arial" w:cs="Arial"/>
          <w:sz w:val="22"/>
          <w:szCs w:val="22"/>
        </w:rPr>
      </w:pPr>
    </w:p>
    <w:p w14:paraId="3ED97E1B" w14:textId="4676067A" w:rsidR="003633F8" w:rsidRDefault="00C0230C" w:rsidP="00C0230C">
      <w:pPr>
        <w:spacing w:line="264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34CF">
        <w:rPr>
          <w:rFonts w:ascii="Arial" w:hAnsi="Arial" w:cs="Arial"/>
          <w:color w:val="000000" w:themeColor="text1"/>
          <w:sz w:val="22"/>
          <w:szCs w:val="22"/>
        </w:rPr>
        <w:t>Die</w:t>
      </w:r>
      <w:r w:rsidR="00C055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6C19">
        <w:rPr>
          <w:rFonts w:ascii="Arial" w:hAnsi="Arial" w:cs="Arial"/>
          <w:color w:val="000000" w:themeColor="text1"/>
          <w:sz w:val="22"/>
          <w:szCs w:val="22"/>
        </w:rPr>
        <w:t>Agrargenossenschaft Niederpöllnitz e.G.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 stellte beim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Thüringer Landesamt für 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mwelt, Bergbau und Naturschutz (TLUBN) den Antrag </w:t>
      </w:r>
      <w:r w:rsidR="00534324">
        <w:rPr>
          <w:rFonts w:ascii="Arial" w:hAnsi="Arial" w:cs="Arial"/>
          <w:color w:val="000000" w:themeColor="text1"/>
          <w:sz w:val="22"/>
          <w:szCs w:val="22"/>
        </w:rPr>
        <w:t xml:space="preserve">auf </w:t>
      </w:r>
      <w:r w:rsidR="001F6C19" w:rsidRPr="00C53AF0">
        <w:rPr>
          <w:rFonts w:ascii="Arial" w:hAnsi="Arial" w:cs="Arial"/>
          <w:sz w:val="22"/>
          <w:szCs w:val="22"/>
        </w:rPr>
        <w:t>Erteilung einer Änderungsgenehmigung</w:t>
      </w:r>
      <w:r w:rsidR="00514ACB" w:rsidRPr="00C53AF0">
        <w:rPr>
          <w:rFonts w:ascii="Arial" w:hAnsi="Arial" w:cs="Arial"/>
          <w:sz w:val="22"/>
          <w:szCs w:val="22"/>
        </w:rPr>
        <w:t xml:space="preserve"> </w:t>
      </w:r>
      <w:r w:rsidRPr="00C53AF0">
        <w:rPr>
          <w:rFonts w:ascii="Arial" w:hAnsi="Arial" w:cs="Arial"/>
          <w:sz w:val="22"/>
          <w:szCs w:val="22"/>
        </w:rPr>
        <w:t xml:space="preserve">nach </w:t>
      </w:r>
      <w:r w:rsidR="005D64A3">
        <w:rPr>
          <w:rFonts w:ascii="Arial" w:hAnsi="Arial" w:cs="Arial"/>
          <w:sz w:val="22"/>
          <w:szCs w:val="22"/>
        </w:rPr>
        <w:t xml:space="preserve">§ 16 Abs. 2 </w:t>
      </w:r>
      <w:r w:rsidR="001F6C19" w:rsidRPr="00C53AF0">
        <w:rPr>
          <w:rFonts w:ascii="Arial" w:hAnsi="Arial" w:cs="Arial"/>
          <w:sz w:val="22"/>
          <w:szCs w:val="22"/>
        </w:rPr>
        <w:t>Bundes-Immissionsschutzgesetz</w:t>
      </w:r>
      <w:r w:rsidRPr="00C53AF0">
        <w:rPr>
          <w:rFonts w:ascii="Arial" w:hAnsi="Arial" w:cs="Arial"/>
          <w:sz w:val="22"/>
          <w:szCs w:val="22"/>
        </w:rPr>
        <w:t xml:space="preserve"> </w:t>
      </w:r>
      <w:r w:rsidR="00C53AF0" w:rsidRPr="00C53AF0">
        <w:rPr>
          <w:rFonts w:ascii="Arial" w:hAnsi="Arial" w:cs="Arial"/>
          <w:sz w:val="22"/>
          <w:szCs w:val="22"/>
        </w:rPr>
        <w:t xml:space="preserve">zu </w:t>
      </w:r>
      <w:r w:rsidR="001F6C19" w:rsidRPr="00C53AF0">
        <w:rPr>
          <w:rFonts w:ascii="Arial" w:hAnsi="Arial" w:cs="Arial"/>
          <w:sz w:val="22"/>
          <w:szCs w:val="22"/>
        </w:rPr>
        <w:t>einer</w:t>
      </w:r>
      <w:r w:rsidRPr="00C53AF0">
        <w:rPr>
          <w:rFonts w:ascii="Arial" w:hAnsi="Arial" w:cs="Arial"/>
          <w:sz w:val="22"/>
          <w:szCs w:val="22"/>
        </w:rPr>
        <w:t xml:space="preserve"> wesentliche</w:t>
      </w:r>
      <w:r w:rsidR="00B361AD" w:rsidRPr="00C53AF0">
        <w:rPr>
          <w:rFonts w:ascii="Arial" w:hAnsi="Arial" w:cs="Arial"/>
          <w:sz w:val="22"/>
          <w:szCs w:val="22"/>
        </w:rPr>
        <w:t>n</w:t>
      </w:r>
      <w:r w:rsidRPr="00C53AF0">
        <w:rPr>
          <w:rFonts w:ascii="Arial" w:hAnsi="Arial" w:cs="Arial"/>
          <w:sz w:val="22"/>
          <w:szCs w:val="22"/>
        </w:rPr>
        <w:t xml:space="preserve"> Änderung </w:t>
      </w:r>
      <w:r w:rsidR="00C53AF0">
        <w:rPr>
          <w:rFonts w:ascii="Arial" w:hAnsi="Arial" w:cs="Arial"/>
          <w:color w:val="000000" w:themeColor="text1"/>
          <w:sz w:val="22"/>
          <w:szCs w:val="22"/>
        </w:rPr>
        <w:t>d</w:t>
      </w:r>
      <w:r w:rsidR="007B62F0">
        <w:rPr>
          <w:rFonts w:ascii="Arial" w:hAnsi="Arial" w:cs="Arial"/>
          <w:color w:val="000000" w:themeColor="text1"/>
          <w:sz w:val="22"/>
          <w:szCs w:val="22"/>
        </w:rPr>
        <w:t>er</w:t>
      </w:r>
      <w:r w:rsidR="00C53A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3FB1">
        <w:rPr>
          <w:rFonts w:ascii="Arial" w:hAnsi="Arial" w:cs="Arial"/>
          <w:color w:val="000000" w:themeColor="text1"/>
          <w:sz w:val="22"/>
          <w:szCs w:val="22"/>
        </w:rPr>
        <w:t xml:space="preserve">Anlage </w:t>
      </w:r>
      <w:r w:rsidR="00C53AF0">
        <w:rPr>
          <w:rFonts w:ascii="Arial" w:hAnsi="Arial" w:cs="Arial"/>
          <w:color w:val="000000" w:themeColor="text1"/>
          <w:sz w:val="22"/>
          <w:szCs w:val="22"/>
        </w:rPr>
        <w:t xml:space="preserve">zum Halten oder zur Aufzucht von Rindern </w:t>
      </w:r>
      <w:r w:rsidRPr="00C53AF0">
        <w:rPr>
          <w:rFonts w:ascii="Arial" w:hAnsi="Arial" w:cs="Arial"/>
          <w:sz w:val="22"/>
          <w:szCs w:val="22"/>
        </w:rPr>
        <w:t xml:space="preserve">am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Standort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im Landkreis </w:t>
      </w:r>
      <w:r w:rsidR="001F6C19">
        <w:rPr>
          <w:rFonts w:ascii="Arial" w:hAnsi="Arial" w:cs="Arial"/>
          <w:color w:val="000000" w:themeColor="text1"/>
          <w:sz w:val="22"/>
          <w:szCs w:val="22"/>
        </w:rPr>
        <w:t>Greiz, in 07570 Harth-</w:t>
      </w:r>
      <w:proofErr w:type="spellStart"/>
      <w:r w:rsidR="001F6C19">
        <w:rPr>
          <w:rFonts w:ascii="Arial" w:hAnsi="Arial" w:cs="Arial"/>
          <w:color w:val="000000" w:themeColor="text1"/>
          <w:sz w:val="22"/>
          <w:szCs w:val="22"/>
        </w:rPr>
        <w:t>Pöllnitz</w:t>
      </w:r>
      <w:proofErr w:type="spellEnd"/>
      <w:r w:rsidR="001F6C19">
        <w:rPr>
          <w:rFonts w:ascii="Arial" w:hAnsi="Arial" w:cs="Arial"/>
          <w:color w:val="000000" w:themeColor="text1"/>
          <w:sz w:val="22"/>
          <w:szCs w:val="22"/>
        </w:rPr>
        <w:t xml:space="preserve">, Ortsteil </w:t>
      </w:r>
      <w:proofErr w:type="spellStart"/>
      <w:r w:rsidR="001F6C19">
        <w:rPr>
          <w:rFonts w:ascii="Arial" w:hAnsi="Arial" w:cs="Arial"/>
          <w:color w:val="000000" w:themeColor="text1"/>
          <w:sz w:val="22"/>
          <w:szCs w:val="22"/>
        </w:rPr>
        <w:t>Niederpöllnitz</w:t>
      </w:r>
      <w:proofErr w:type="spellEnd"/>
      <w:r w:rsidR="001F6C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53AF0">
        <w:rPr>
          <w:rFonts w:ascii="Arial" w:hAnsi="Arial" w:cs="Arial"/>
          <w:color w:val="000000" w:themeColor="text1"/>
          <w:sz w:val="22"/>
          <w:szCs w:val="22"/>
        </w:rPr>
        <w:t>Rohrwiesenweg 23, Gemarkung Niederpöllnitz</w:t>
      </w:r>
      <w:r w:rsidR="007B62F0">
        <w:rPr>
          <w:rFonts w:ascii="Arial" w:hAnsi="Arial" w:cs="Arial"/>
          <w:color w:val="000000" w:themeColor="text1"/>
          <w:sz w:val="22"/>
          <w:szCs w:val="22"/>
        </w:rPr>
        <w:t>.</w:t>
      </w:r>
      <w:r w:rsidR="00C53A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C799F7" w14:textId="77777777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6A6F7F" w14:textId="5FD5B6D7" w:rsidR="006C57A1" w:rsidRDefault="006C57A1" w:rsidP="006E122D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6E122D" w:rsidRPr="00BE059C">
        <w:rPr>
          <w:rFonts w:ascii="Arial" w:hAnsi="Arial" w:cs="Arial"/>
          <w:color w:val="000000" w:themeColor="text1"/>
          <w:sz w:val="22"/>
          <w:szCs w:val="22"/>
        </w:rPr>
        <w:t>as geplante Vorhaben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 besteht</w:t>
      </w:r>
      <w:r w:rsidR="00EC5A8B">
        <w:rPr>
          <w:rFonts w:ascii="Arial" w:hAnsi="Arial" w:cs="Arial"/>
          <w:color w:val="000000" w:themeColor="text1"/>
          <w:sz w:val="22"/>
          <w:szCs w:val="22"/>
        </w:rPr>
        <w:t xml:space="preserve"> an </w:t>
      </w:r>
      <w:r w:rsidR="003305EC">
        <w:rPr>
          <w:rFonts w:ascii="Arial" w:hAnsi="Arial" w:cs="Arial"/>
          <w:color w:val="000000" w:themeColor="text1"/>
          <w:sz w:val="22"/>
          <w:szCs w:val="22"/>
        </w:rPr>
        <w:t>der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 Biogasanlage als</w:t>
      </w:r>
      <w:r w:rsidR="003305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04D3">
        <w:rPr>
          <w:rFonts w:ascii="Arial" w:hAnsi="Arial" w:cs="Arial"/>
          <w:color w:val="000000" w:themeColor="text1"/>
          <w:sz w:val="22"/>
          <w:szCs w:val="22"/>
        </w:rPr>
        <w:t>Nebeneinrichtung</w:t>
      </w:r>
      <w:r w:rsidR="00EC5A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63B3">
        <w:rPr>
          <w:rFonts w:ascii="Arial" w:hAnsi="Arial" w:cs="Arial"/>
          <w:color w:val="000000" w:themeColor="text1"/>
          <w:sz w:val="22"/>
          <w:szCs w:val="22"/>
        </w:rPr>
        <w:t>der Tierhaltungs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>-</w:t>
      </w:r>
      <w:r w:rsidR="00EA63B3">
        <w:rPr>
          <w:rFonts w:ascii="Arial" w:hAnsi="Arial" w:cs="Arial"/>
          <w:color w:val="000000" w:themeColor="text1"/>
          <w:sz w:val="22"/>
          <w:szCs w:val="22"/>
        </w:rPr>
        <w:t>anlage</w:t>
      </w:r>
      <w:r w:rsidR="003305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5A8B">
        <w:rPr>
          <w:rFonts w:ascii="Arial" w:hAnsi="Arial" w:cs="Arial"/>
          <w:color w:val="000000" w:themeColor="text1"/>
          <w:sz w:val="22"/>
          <w:szCs w:val="22"/>
        </w:rPr>
        <w:t>aus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der</w:t>
      </w:r>
    </w:p>
    <w:p w14:paraId="7A444203" w14:textId="09700555" w:rsidR="006C57A1" w:rsidRPr="00EC5A8B" w:rsidRDefault="006C57A1" w:rsidP="006C57A1">
      <w:pPr>
        <w:pStyle w:val="Listenabsatz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C5A8B">
        <w:rPr>
          <w:rFonts w:ascii="Arial" w:hAnsi="Arial" w:cs="Arial"/>
          <w:sz w:val="22"/>
          <w:szCs w:val="22"/>
        </w:rPr>
        <w:t xml:space="preserve">Erhöhung der Einsatzstoffmenge von 138,9 t/d </w:t>
      </w:r>
      <w:r w:rsidR="00EC5A8B" w:rsidRPr="00EC5A8B">
        <w:rPr>
          <w:rFonts w:ascii="Arial" w:hAnsi="Arial" w:cs="Arial"/>
          <w:sz w:val="22"/>
          <w:szCs w:val="22"/>
        </w:rPr>
        <w:t xml:space="preserve">(50.711 t/a) </w:t>
      </w:r>
      <w:r w:rsidRPr="00EC5A8B">
        <w:rPr>
          <w:rFonts w:ascii="Arial" w:hAnsi="Arial" w:cs="Arial"/>
          <w:sz w:val="22"/>
          <w:szCs w:val="22"/>
        </w:rPr>
        <w:t xml:space="preserve">auf 147,3 t/d </w:t>
      </w:r>
      <w:r w:rsidR="00EC5A8B" w:rsidRPr="00EC5A8B">
        <w:rPr>
          <w:rFonts w:ascii="Arial" w:hAnsi="Arial" w:cs="Arial"/>
          <w:sz w:val="22"/>
          <w:szCs w:val="22"/>
        </w:rPr>
        <w:t xml:space="preserve">(53.748 t/a) </w:t>
      </w:r>
      <w:r w:rsidRPr="00EC5A8B">
        <w:rPr>
          <w:rFonts w:ascii="Arial" w:hAnsi="Arial" w:cs="Arial"/>
          <w:sz w:val="22"/>
          <w:szCs w:val="22"/>
        </w:rPr>
        <w:t xml:space="preserve">und einer </w:t>
      </w:r>
      <w:r w:rsidR="00557152">
        <w:rPr>
          <w:rFonts w:ascii="Arial" w:hAnsi="Arial" w:cs="Arial"/>
          <w:sz w:val="22"/>
          <w:szCs w:val="22"/>
        </w:rPr>
        <w:t>damit verbundenen</w:t>
      </w:r>
    </w:p>
    <w:p w14:paraId="27A555FE" w14:textId="544DBB2A" w:rsidR="006E122D" w:rsidRPr="00EC5A8B" w:rsidRDefault="006C57A1" w:rsidP="006C57A1">
      <w:pPr>
        <w:pStyle w:val="Listenabsatz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C5A8B">
        <w:rPr>
          <w:rFonts w:ascii="Arial" w:hAnsi="Arial" w:cs="Arial"/>
          <w:sz w:val="22"/>
          <w:szCs w:val="22"/>
        </w:rPr>
        <w:t>Veränderung der Mengen</w:t>
      </w:r>
      <w:r w:rsidR="00EC5A8B" w:rsidRPr="00EC5A8B">
        <w:rPr>
          <w:rFonts w:ascii="Arial" w:hAnsi="Arial" w:cs="Arial"/>
          <w:sz w:val="22"/>
          <w:szCs w:val="22"/>
        </w:rPr>
        <w:t>zusammensetzung der</w:t>
      </w:r>
      <w:r w:rsidRPr="00EC5A8B">
        <w:rPr>
          <w:rFonts w:ascii="Arial" w:hAnsi="Arial" w:cs="Arial"/>
          <w:sz w:val="22"/>
          <w:szCs w:val="22"/>
        </w:rPr>
        <w:t xml:space="preserve"> </w:t>
      </w:r>
      <w:r w:rsidR="00AB4A6A">
        <w:rPr>
          <w:rFonts w:ascii="Arial" w:hAnsi="Arial" w:cs="Arial"/>
          <w:sz w:val="22"/>
          <w:szCs w:val="22"/>
        </w:rPr>
        <w:t xml:space="preserve">genehmigten </w:t>
      </w:r>
      <w:r w:rsidRPr="00EC5A8B">
        <w:rPr>
          <w:rFonts w:ascii="Arial" w:hAnsi="Arial" w:cs="Arial"/>
          <w:sz w:val="22"/>
          <w:szCs w:val="22"/>
        </w:rPr>
        <w:t>Einsatzstoffe</w:t>
      </w:r>
      <w:r w:rsidR="00557152">
        <w:rPr>
          <w:rFonts w:ascii="Arial" w:hAnsi="Arial" w:cs="Arial"/>
          <w:sz w:val="22"/>
          <w:szCs w:val="22"/>
        </w:rPr>
        <w:t xml:space="preserve"> sowie der</w:t>
      </w:r>
    </w:p>
    <w:p w14:paraId="4E2F582C" w14:textId="77777777" w:rsidR="00AB4A6A" w:rsidRDefault="00EC5A8B" w:rsidP="00AB4A6A">
      <w:pPr>
        <w:pStyle w:val="Listenabsatz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C5A8B">
        <w:rPr>
          <w:rFonts w:ascii="Arial" w:hAnsi="Arial" w:cs="Arial"/>
          <w:sz w:val="22"/>
          <w:szCs w:val="22"/>
        </w:rPr>
        <w:t>Errichtung einer Notfackel mit 2,8 MW Feuerungswärmeleistung</w:t>
      </w:r>
    </w:p>
    <w:p w14:paraId="56D6122B" w14:textId="46192864" w:rsidR="00EC5A8B" w:rsidRPr="00AB4A6A" w:rsidRDefault="00EC5A8B" w:rsidP="00AB4A6A">
      <w:pPr>
        <w:pStyle w:val="Listenabsatz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AB4A6A">
        <w:rPr>
          <w:rFonts w:ascii="Arial" w:hAnsi="Arial" w:cs="Arial"/>
          <w:sz w:val="22"/>
          <w:szCs w:val="22"/>
        </w:rPr>
        <w:t>Flexibilisierung der Verstromungsleistung durch Wechselbetrieb der vorhandenen Blockheizkraftwerke</w:t>
      </w:r>
    </w:p>
    <w:p w14:paraId="47C0BD8D" w14:textId="77777777" w:rsidR="00A204D3" w:rsidRDefault="00EC5A8B" w:rsidP="00B535CA">
      <w:pPr>
        <w:pStyle w:val="Listenabsatz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A204D3">
        <w:rPr>
          <w:rFonts w:ascii="Arial" w:hAnsi="Arial" w:cs="Arial"/>
          <w:sz w:val="22"/>
          <w:szCs w:val="22"/>
        </w:rPr>
        <w:t xml:space="preserve">Versiegelung von Flächen zur Schaffung von Verkehrswegen sowie Fundamenten und Bodenplatten </w:t>
      </w:r>
    </w:p>
    <w:p w14:paraId="79893488" w14:textId="59018005" w:rsidR="00EC5A8B" w:rsidRPr="00A204D3" w:rsidRDefault="00EC5A8B" w:rsidP="00B535CA">
      <w:pPr>
        <w:pStyle w:val="Listenabsatz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A204D3">
        <w:rPr>
          <w:rFonts w:ascii="Arial" w:hAnsi="Arial" w:cs="Arial"/>
          <w:sz w:val="22"/>
          <w:szCs w:val="22"/>
        </w:rPr>
        <w:t xml:space="preserve">Errichtung und </w:t>
      </w:r>
      <w:r w:rsidR="00E07166" w:rsidRPr="00A204D3">
        <w:rPr>
          <w:rFonts w:ascii="Arial" w:hAnsi="Arial" w:cs="Arial"/>
          <w:sz w:val="22"/>
          <w:szCs w:val="22"/>
        </w:rPr>
        <w:t>den Betrieb einer Biogasa</w:t>
      </w:r>
      <w:r w:rsidRPr="00A204D3">
        <w:rPr>
          <w:rFonts w:ascii="Arial" w:hAnsi="Arial" w:cs="Arial"/>
          <w:sz w:val="22"/>
          <w:szCs w:val="22"/>
        </w:rPr>
        <w:t>ufbereitungsanlage</w:t>
      </w:r>
      <w:r w:rsidR="00593171" w:rsidRPr="00A204D3">
        <w:rPr>
          <w:rFonts w:ascii="Arial" w:hAnsi="Arial" w:cs="Arial"/>
          <w:sz w:val="22"/>
          <w:szCs w:val="22"/>
        </w:rPr>
        <w:t xml:space="preserve"> mit Abgasnach</w:t>
      </w:r>
      <w:r w:rsidR="00A204D3">
        <w:rPr>
          <w:rFonts w:ascii="Arial" w:hAnsi="Arial" w:cs="Arial"/>
          <w:sz w:val="22"/>
          <w:szCs w:val="22"/>
        </w:rPr>
        <w:t>-</w:t>
      </w:r>
      <w:r w:rsidR="00593171" w:rsidRPr="00A204D3">
        <w:rPr>
          <w:rFonts w:ascii="Arial" w:hAnsi="Arial" w:cs="Arial"/>
          <w:sz w:val="22"/>
          <w:szCs w:val="22"/>
        </w:rPr>
        <w:t>verbrennung</w:t>
      </w:r>
    </w:p>
    <w:p w14:paraId="1FB136A0" w14:textId="14C36397" w:rsidR="00EC5A8B" w:rsidRPr="00EC5A8B" w:rsidRDefault="00EC5A8B" w:rsidP="00EC5A8B">
      <w:pPr>
        <w:pStyle w:val="Listenabsatz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C5A8B">
        <w:rPr>
          <w:rFonts w:ascii="Arial" w:hAnsi="Arial" w:cs="Arial"/>
          <w:sz w:val="22"/>
          <w:szCs w:val="22"/>
        </w:rPr>
        <w:t xml:space="preserve">Errichtung und </w:t>
      </w:r>
      <w:r w:rsidR="00E07166">
        <w:rPr>
          <w:rFonts w:ascii="Arial" w:hAnsi="Arial" w:cs="Arial"/>
          <w:sz w:val="22"/>
          <w:szCs w:val="22"/>
        </w:rPr>
        <w:t xml:space="preserve">den </w:t>
      </w:r>
      <w:r w:rsidRPr="00EC5A8B">
        <w:rPr>
          <w:rFonts w:ascii="Arial" w:hAnsi="Arial" w:cs="Arial"/>
          <w:sz w:val="22"/>
          <w:szCs w:val="22"/>
        </w:rPr>
        <w:t>Betrieb einer CO</w:t>
      </w:r>
      <w:r w:rsidR="00956AEB" w:rsidRPr="00956AEB">
        <w:rPr>
          <w:rFonts w:ascii="Arial" w:hAnsi="Arial" w:cs="Arial"/>
          <w:sz w:val="22"/>
          <w:szCs w:val="22"/>
          <w:vertAlign w:val="subscript"/>
        </w:rPr>
        <w:t>2</w:t>
      </w:r>
      <w:r w:rsidRPr="00EC5A8B">
        <w:rPr>
          <w:rFonts w:ascii="Arial" w:hAnsi="Arial" w:cs="Arial"/>
          <w:sz w:val="22"/>
          <w:szCs w:val="22"/>
        </w:rPr>
        <w:t xml:space="preserve">-Aufbereitungs- und Verflüssigungsanlage </w:t>
      </w:r>
    </w:p>
    <w:p w14:paraId="6C895D48" w14:textId="575FFA4E" w:rsidR="00EC5A8B" w:rsidRPr="00EC5A8B" w:rsidRDefault="00EC5A8B" w:rsidP="00EC5A8B">
      <w:pPr>
        <w:pStyle w:val="Listenabsatz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C5A8B">
        <w:rPr>
          <w:rFonts w:ascii="Arial" w:hAnsi="Arial" w:cs="Arial"/>
          <w:sz w:val="22"/>
          <w:szCs w:val="22"/>
        </w:rPr>
        <w:t xml:space="preserve">Errichtung und </w:t>
      </w:r>
      <w:r w:rsidR="00E07166">
        <w:rPr>
          <w:rFonts w:ascii="Arial" w:hAnsi="Arial" w:cs="Arial"/>
          <w:sz w:val="22"/>
          <w:szCs w:val="22"/>
        </w:rPr>
        <w:t xml:space="preserve">den </w:t>
      </w:r>
      <w:r w:rsidRPr="00EC5A8B">
        <w:rPr>
          <w:rFonts w:ascii="Arial" w:hAnsi="Arial" w:cs="Arial"/>
          <w:sz w:val="22"/>
          <w:szCs w:val="22"/>
        </w:rPr>
        <w:t>Betrieb einer CO</w:t>
      </w:r>
      <w:r w:rsidRPr="00956AEB">
        <w:rPr>
          <w:rFonts w:ascii="Arial" w:hAnsi="Arial" w:cs="Arial"/>
          <w:sz w:val="22"/>
          <w:szCs w:val="22"/>
          <w:vertAlign w:val="subscript"/>
        </w:rPr>
        <w:t>2</w:t>
      </w:r>
      <w:r w:rsidRPr="00EC5A8B">
        <w:rPr>
          <w:rFonts w:ascii="Arial" w:hAnsi="Arial" w:cs="Arial"/>
          <w:sz w:val="22"/>
          <w:szCs w:val="22"/>
        </w:rPr>
        <w:t xml:space="preserve">-Tanklageranlage nebst Füllanlage </w:t>
      </w:r>
    </w:p>
    <w:p w14:paraId="6CCC8618" w14:textId="77777777" w:rsidR="006E122D" w:rsidRDefault="006E122D" w:rsidP="006E122D">
      <w:pPr>
        <w:spacing w:line="260" w:lineRule="exact"/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5A0CCA" w14:textId="12A51178" w:rsidR="00131248" w:rsidRDefault="00841DD9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Für das Vorhaben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hat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>gemäß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 Anlage 1 </w:t>
      </w:r>
      <w:r w:rsidR="00131248" w:rsidRPr="005D0F94">
        <w:rPr>
          <w:rFonts w:ascii="Arial" w:hAnsi="Arial" w:cs="Arial"/>
          <w:sz w:val="22"/>
          <w:szCs w:val="22"/>
        </w:rPr>
        <w:t xml:space="preserve">des Gesetzes über die Umweltverträglichkeitsprüfung (UVPG) 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 xml:space="preserve">bereits nach </w:t>
      </w:r>
      <w:r w:rsidR="00F13168">
        <w:rPr>
          <w:rFonts w:ascii="Arial" w:hAnsi="Arial" w:cs="Arial"/>
          <w:color w:val="000000" w:themeColor="text1"/>
          <w:sz w:val="22"/>
          <w:szCs w:val="22"/>
        </w:rPr>
        <w:t xml:space="preserve">Nr. 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>7.5.1 eine allgemeine Vorprüfung des Einzelfalls zu erfolgen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39B547" w14:textId="4F5C4D5A" w:rsidR="00C0230C" w:rsidRPr="003D1522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EC3C3D" w14:textId="77777777" w:rsidR="00C0230C" w:rsidRPr="00E14F54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Gemäß § 5 Abs. 2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UVPG wird bekannt gegeben:</w:t>
      </w:r>
    </w:p>
    <w:p w14:paraId="5BCFA2A9" w14:textId="2E634DE9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Aufgrund der</w:t>
      </w:r>
      <w:r w:rsidRPr="006F76EE">
        <w:rPr>
          <w:rFonts w:ascii="Arial" w:hAnsi="Arial" w:cs="Arial"/>
          <w:sz w:val="22"/>
          <w:szCs w:val="22"/>
        </w:rPr>
        <w:t xml:space="preserve"> </w:t>
      </w:r>
      <w:r w:rsidR="006E122D" w:rsidRPr="006F76EE">
        <w:rPr>
          <w:rFonts w:ascii="Arial" w:hAnsi="Arial" w:cs="Arial"/>
          <w:sz w:val="22"/>
          <w:szCs w:val="22"/>
        </w:rPr>
        <w:t>allgemeinen</w:t>
      </w:r>
      <w:r w:rsidR="006F76EE" w:rsidRPr="006F76EE">
        <w:rPr>
          <w:rFonts w:ascii="Arial" w:hAnsi="Arial" w:cs="Arial"/>
          <w:sz w:val="22"/>
          <w:szCs w:val="22"/>
        </w:rPr>
        <w:t xml:space="preserve"> 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Vorprüfung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des Einzelfalls </w:t>
      </w:r>
      <w:r w:rsidRPr="005D0F94">
        <w:rPr>
          <w:rFonts w:ascii="Arial" w:hAnsi="Arial" w:cs="Arial"/>
          <w:sz w:val="22"/>
          <w:szCs w:val="22"/>
        </w:rPr>
        <w:t xml:space="preserve">gemäß </w:t>
      </w:r>
      <w:r w:rsidRPr="006F76EE">
        <w:rPr>
          <w:rFonts w:ascii="Arial" w:hAnsi="Arial" w:cs="Arial"/>
          <w:sz w:val="22"/>
          <w:szCs w:val="22"/>
        </w:rPr>
        <w:t>§</w:t>
      </w:r>
      <w:r w:rsidR="006E122D" w:rsidRPr="006F76EE">
        <w:rPr>
          <w:rFonts w:ascii="Arial" w:hAnsi="Arial" w:cs="Arial"/>
          <w:sz w:val="22"/>
          <w:szCs w:val="22"/>
        </w:rPr>
        <w:t xml:space="preserve"> 9 </w:t>
      </w:r>
      <w:r w:rsidRPr="005D0F94">
        <w:rPr>
          <w:rFonts w:ascii="Arial" w:hAnsi="Arial" w:cs="Arial"/>
          <w:sz w:val="22"/>
          <w:szCs w:val="22"/>
        </w:rPr>
        <w:t xml:space="preserve">Abs. </w:t>
      </w:r>
      <w:r w:rsidR="006F76EE">
        <w:rPr>
          <w:rFonts w:ascii="Arial" w:hAnsi="Arial" w:cs="Arial"/>
          <w:sz w:val="22"/>
          <w:szCs w:val="22"/>
        </w:rPr>
        <w:t>2</w:t>
      </w:r>
      <w:r w:rsidRPr="005D0F94">
        <w:rPr>
          <w:rFonts w:ascii="Arial" w:hAnsi="Arial" w:cs="Arial"/>
          <w:sz w:val="22"/>
          <w:szCs w:val="22"/>
        </w:rPr>
        <w:t xml:space="preserve"> UVPG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wird festgestellt, dass </w:t>
      </w:r>
      <w:r>
        <w:rPr>
          <w:rFonts w:ascii="Arial" w:hAnsi="Arial" w:cs="Arial"/>
          <w:color w:val="000000" w:themeColor="text1"/>
          <w:sz w:val="22"/>
          <w:szCs w:val="22"/>
        </w:rPr>
        <w:t>die Anlage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 keine erheblichen nachteiligen </w:t>
      </w:r>
      <w:r w:rsidR="00065182">
        <w:rPr>
          <w:rFonts w:ascii="Arial" w:hAnsi="Arial" w:cs="Arial"/>
          <w:color w:val="000000" w:themeColor="text1"/>
          <w:sz w:val="22"/>
          <w:szCs w:val="22"/>
        </w:rPr>
        <w:t>Aus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wirkungen hervorrufen kann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somit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keine UVP-Pflicht besteht</w:t>
      </w:r>
      <w:r w:rsidR="00A924C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Nach Prüfung der Kriterien der Anlage 3 zum UVPG ergib</w:t>
      </w:r>
      <w:r w:rsidR="003633F8">
        <w:rPr>
          <w:rFonts w:ascii="Arial" w:hAnsi="Arial" w:cs="Arial"/>
          <w:color w:val="000000" w:themeColor="text1"/>
          <w:sz w:val="22"/>
          <w:szCs w:val="22"/>
        </w:rPr>
        <w:t xml:space="preserve">t sich dies im Wesentlichen aus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folgenden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Gründe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n: </w:t>
      </w:r>
    </w:p>
    <w:p w14:paraId="47A01791" w14:textId="77777777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A58AA4" w14:textId="74AB84E8" w:rsidR="008919DB" w:rsidRDefault="006F76EE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Errichtung und der Betrieb der Biogasaufbereitungsanlage</w:t>
      </w:r>
      <w:r w:rsidR="00841DD9">
        <w:rPr>
          <w:rFonts w:ascii="Arial" w:hAnsi="Arial" w:cs="Arial"/>
          <w:color w:val="000000" w:themeColor="text1"/>
          <w:sz w:val="22"/>
          <w:szCs w:val="22"/>
        </w:rPr>
        <w:t xml:space="preserve"> nebst Abgasnachverbrennung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haben keine erheblichen nachteiligen Umwelteinwirkungen zur Folge. Das bei der Aufbereitung des Biogases anfallende CO</w:t>
      </w:r>
      <w:r w:rsidRPr="00956AEB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wird </w:t>
      </w:r>
      <w:r w:rsidR="003E67C0">
        <w:rPr>
          <w:rFonts w:ascii="Arial" w:hAnsi="Arial" w:cs="Arial"/>
          <w:color w:val="000000" w:themeColor="text1"/>
          <w:sz w:val="22"/>
          <w:szCs w:val="22"/>
        </w:rPr>
        <w:t>nicht in die Atmosphäre abgegeben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919DB">
        <w:rPr>
          <w:rFonts w:ascii="Arial" w:hAnsi="Arial" w:cs="Arial"/>
          <w:color w:val="000000" w:themeColor="text1"/>
          <w:sz w:val="22"/>
          <w:szCs w:val="22"/>
        </w:rPr>
        <w:t xml:space="preserve">Die Erhöhung und Veränderung der Zusammensetzung der Einsatzstoffe der Biogasanlage, die Flexibilisierung der Verstromungsleistung der Blockheizkraftwerke sowie die Errichtung der Notfackel </w:t>
      </w:r>
      <w:r w:rsidR="00FA5F6C">
        <w:rPr>
          <w:rFonts w:ascii="Arial" w:hAnsi="Arial" w:cs="Arial"/>
          <w:color w:val="000000" w:themeColor="text1"/>
          <w:sz w:val="22"/>
          <w:szCs w:val="22"/>
        </w:rPr>
        <w:t>haben</w:t>
      </w:r>
      <w:r w:rsidR="008919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5F6C">
        <w:rPr>
          <w:rFonts w:ascii="Arial" w:hAnsi="Arial" w:cs="Arial"/>
          <w:color w:val="000000" w:themeColor="text1"/>
          <w:sz w:val="22"/>
          <w:szCs w:val="22"/>
        </w:rPr>
        <w:t>keine erheblich</w:t>
      </w:r>
      <w:r w:rsidR="008919DB">
        <w:rPr>
          <w:rFonts w:ascii="Arial" w:hAnsi="Arial" w:cs="Arial"/>
          <w:color w:val="000000" w:themeColor="text1"/>
          <w:sz w:val="22"/>
          <w:szCs w:val="22"/>
        </w:rPr>
        <w:t xml:space="preserve"> na</w:t>
      </w:r>
      <w:r w:rsidR="00FA5F6C">
        <w:rPr>
          <w:rFonts w:ascii="Arial" w:hAnsi="Arial" w:cs="Arial"/>
          <w:color w:val="000000" w:themeColor="text1"/>
          <w:sz w:val="22"/>
          <w:szCs w:val="22"/>
        </w:rPr>
        <w:t>chteiligen Umwelteinwirkungen zur Folge</w:t>
      </w:r>
      <w:r w:rsidR="008919D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6C480F6" w14:textId="77777777" w:rsidR="008919DB" w:rsidRDefault="008919DB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940681" w14:textId="1B89A689" w:rsidR="008919DB" w:rsidRDefault="008919DB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Für die 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>Bodenversiegelung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wurden für die Eingriffe in den Boden sowie in Natur- und Landschaft durchzuführende Ausgleichs- und Ersatzmaßnahmen in den Antragsunterlagen formuliert. Aus bodenschutz- sowie wasserrechtlicher Sicht sind erhebliche, nachteilige Umwelteinwirkungen durch diese Flächenina</w:t>
      </w:r>
      <w:r w:rsidR="00C54501">
        <w:rPr>
          <w:rFonts w:ascii="Arial" w:hAnsi="Arial" w:cs="Arial"/>
          <w:color w:val="000000" w:themeColor="text1"/>
          <w:sz w:val="22"/>
          <w:szCs w:val="22"/>
        </w:rPr>
        <w:t>nspruchnahme nicht zu besorgen.</w:t>
      </w:r>
    </w:p>
    <w:p w14:paraId="69618281" w14:textId="5CD87032" w:rsidR="00C54501" w:rsidRDefault="00C54501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550620" w14:textId="0AC69C6E" w:rsidR="00C54501" w:rsidRDefault="00C54501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prognostizierte Lärmbelastung für die Umgebung wurde in einer Schall</w:t>
      </w:r>
      <w:r w:rsidR="00131248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immissionsprognose dargestellt. Die Vorkehrungen zur Minimierung der Im</w:t>
      </w:r>
      <w:r w:rsidR="00112866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issionen an den Immissionsorten sind </w:t>
      </w:r>
      <w:r w:rsidR="00112866">
        <w:rPr>
          <w:rFonts w:ascii="Arial" w:hAnsi="Arial" w:cs="Arial"/>
          <w:color w:val="000000" w:themeColor="text1"/>
          <w:sz w:val="22"/>
          <w:szCs w:val="22"/>
        </w:rPr>
        <w:t xml:space="preserve">in vollem Maße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ausreichend, um die Anforderungen der Technischen Anleitung gegen Lärm zu erfüllen. </w:t>
      </w:r>
    </w:p>
    <w:p w14:paraId="006D2692" w14:textId="77777777" w:rsidR="00593171" w:rsidRDefault="00593171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CA51FD" w14:textId="791733EC" w:rsidR="008919DB" w:rsidRDefault="008919DB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beantragten Änderungen lassen keine erheblichen </w:t>
      </w:r>
      <w:r w:rsidR="00065182">
        <w:rPr>
          <w:rFonts w:ascii="Arial" w:hAnsi="Arial" w:cs="Arial"/>
          <w:color w:val="000000" w:themeColor="text1"/>
          <w:sz w:val="22"/>
          <w:szCs w:val="22"/>
        </w:rPr>
        <w:t>nachteilig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Auswirkungen auf die Schutzgüter nach § 2 Abs. 1 UVPG erkennen. </w:t>
      </w:r>
    </w:p>
    <w:p w14:paraId="44B8298E" w14:textId="77777777" w:rsidR="006F76EE" w:rsidRPr="003D1522" w:rsidRDefault="006F76EE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1F13D6" w14:textId="77777777" w:rsidR="00C0230C" w:rsidRPr="00B234CF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34C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Es wird darauf hingewiesen, dass gemäß § 5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Abs. 3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UVPG diese Entscheidung nicht selbstständig anfechtbar ist. Die Entscheidungsgründe sind der Öffentlichkeit nach den Bestimmungen des Thüringer Umweltinformationsgesetzes (ThürUIG) im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Thüringer Landesamt für Umwelt, Bergbau und Naturschutz,</w:t>
      </w:r>
      <w:r w:rsidR="00A924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Referat </w:t>
      </w:r>
      <w:r w:rsidR="0014358A">
        <w:rPr>
          <w:rFonts w:ascii="Arial" w:hAnsi="Arial" w:cs="Arial"/>
          <w:color w:val="000000" w:themeColor="text1"/>
          <w:sz w:val="22"/>
          <w:szCs w:val="22"/>
        </w:rPr>
        <w:t>61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C9">
        <w:rPr>
          <w:rFonts w:ascii="Arial" w:hAnsi="Arial" w:cs="Arial"/>
          <w:color w:val="000000" w:themeColor="text1"/>
          <w:sz w:val="22"/>
          <w:szCs w:val="22"/>
        </w:rPr>
        <w:t>Göschwitzer Str. 41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,</w:t>
      </w:r>
      <w:r w:rsidR="00A924C9">
        <w:rPr>
          <w:rFonts w:ascii="Arial" w:hAnsi="Arial" w:cs="Arial"/>
          <w:color w:val="000000" w:themeColor="text1"/>
          <w:sz w:val="22"/>
          <w:szCs w:val="22"/>
        </w:rPr>
        <w:t xml:space="preserve"> 07745 Jena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>zugänglich.</w:t>
      </w:r>
    </w:p>
    <w:p w14:paraId="0B48DE20" w14:textId="77777777" w:rsidR="00C0230C" w:rsidRDefault="00C0230C" w:rsidP="00C023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7E1BE3" w14:textId="77777777" w:rsidR="00C0230C" w:rsidRPr="003D1522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Diese Bekanntgabe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 wird auch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auf der Homepage des TLUBN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www.tlubn.</w:t>
        </w:r>
        <w:r w:rsidRPr="00F6267D">
          <w:rPr>
            <w:rStyle w:val="Hyperlink"/>
            <w:rFonts w:ascii="Arial" w:hAnsi="Arial" w:cs="Arial"/>
            <w:sz w:val="22"/>
            <w:szCs w:val="22"/>
          </w:rPr>
          <w:t>thueringen.de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) unter „Amtliche B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 xml:space="preserve">ekanntmachungen“ </w:t>
      </w:r>
      <w:r>
        <w:rPr>
          <w:rFonts w:ascii="Arial" w:hAnsi="Arial" w:cs="Arial"/>
          <w:color w:val="000000" w:themeColor="text1"/>
          <w:sz w:val="22"/>
          <w:szCs w:val="22"/>
        </w:rPr>
        <w:t>veröffentlicht.</w:t>
      </w:r>
    </w:p>
    <w:p w14:paraId="52009806" w14:textId="77777777" w:rsidR="00C0230C" w:rsidRDefault="00C0230C" w:rsidP="00C0230C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BD4FFBC" w14:textId="77777777" w:rsidR="00C0230C" w:rsidRPr="00261D14" w:rsidRDefault="00C0230C" w:rsidP="00C0230C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563BC2B" w14:textId="6FF313A1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Jena, den</w:t>
      </w:r>
      <w:r w:rsidR="00C003FE">
        <w:rPr>
          <w:rFonts w:ascii="Arial" w:hAnsi="Arial" w:cs="Arial"/>
          <w:sz w:val="22"/>
          <w:szCs w:val="22"/>
        </w:rPr>
        <w:t xml:space="preserve"> 11.04.2024</w:t>
      </w:r>
      <w:r>
        <w:rPr>
          <w:rFonts w:ascii="Arial" w:hAnsi="Arial" w:cs="Arial"/>
          <w:sz w:val="22"/>
          <w:szCs w:val="22"/>
        </w:rPr>
        <w:tab/>
      </w:r>
    </w:p>
    <w:p w14:paraId="4E36949D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EF02075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D19DEAC" w14:textId="77777777" w:rsidR="00C0230C" w:rsidRPr="00472C01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Thüringer Landesamt für Umwelt,</w:t>
      </w:r>
      <w:r>
        <w:rPr>
          <w:rFonts w:ascii="Arial" w:hAnsi="Arial" w:cs="Arial"/>
          <w:sz w:val="22"/>
          <w:szCs w:val="22"/>
        </w:rPr>
        <w:t xml:space="preserve"> </w:t>
      </w:r>
      <w:r w:rsidRPr="000B2F14">
        <w:rPr>
          <w:rFonts w:ascii="Arial" w:hAnsi="Arial" w:cs="Arial"/>
          <w:sz w:val="22"/>
          <w:szCs w:val="22"/>
        </w:rPr>
        <w:t>Bergbau und Naturschutz</w:t>
      </w:r>
      <w:r w:rsidRPr="000B2F14">
        <w:rPr>
          <w:rFonts w:ascii="Arial" w:hAnsi="Arial" w:cs="Arial"/>
          <w:sz w:val="22"/>
          <w:szCs w:val="22"/>
        </w:rPr>
        <w:cr/>
      </w:r>
      <w:r w:rsidRPr="00472C01">
        <w:rPr>
          <w:rFonts w:ascii="Arial" w:hAnsi="Arial" w:cs="Arial"/>
          <w:sz w:val="22"/>
          <w:szCs w:val="22"/>
        </w:rPr>
        <w:t>Der Präsident</w:t>
      </w:r>
    </w:p>
    <w:p w14:paraId="64807933" w14:textId="77777777" w:rsidR="00C0230C" w:rsidRPr="00472C01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9FE00AE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06CF96A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0FA9280F" w14:textId="77777777" w:rsidR="00C0230C" w:rsidRPr="00FF63EF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Mario Suckert</w:t>
      </w:r>
    </w:p>
    <w:p w14:paraId="6772850A" w14:textId="77777777" w:rsidR="003135EE" w:rsidRPr="00C0230C" w:rsidRDefault="003135EE" w:rsidP="00B361AD"/>
    <w:sectPr w:rsidR="003135EE" w:rsidRPr="00C02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29B"/>
    <w:multiLevelType w:val="hybridMultilevel"/>
    <w:tmpl w:val="D1D6A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1AE3"/>
    <w:multiLevelType w:val="hybridMultilevel"/>
    <w:tmpl w:val="398C4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75FB"/>
    <w:multiLevelType w:val="hybridMultilevel"/>
    <w:tmpl w:val="E2624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2A"/>
    <w:rsid w:val="00065182"/>
    <w:rsid w:val="000D5E4B"/>
    <w:rsid w:val="00112866"/>
    <w:rsid w:val="00131248"/>
    <w:rsid w:val="0014358A"/>
    <w:rsid w:val="0015329A"/>
    <w:rsid w:val="001A7117"/>
    <w:rsid w:val="001F6C19"/>
    <w:rsid w:val="00246CF6"/>
    <w:rsid w:val="0028655C"/>
    <w:rsid w:val="003135EE"/>
    <w:rsid w:val="003305EC"/>
    <w:rsid w:val="003633F8"/>
    <w:rsid w:val="003E67C0"/>
    <w:rsid w:val="00432E2A"/>
    <w:rsid w:val="00443CAB"/>
    <w:rsid w:val="00451409"/>
    <w:rsid w:val="0048332D"/>
    <w:rsid w:val="00484FB2"/>
    <w:rsid w:val="0049510A"/>
    <w:rsid w:val="00514ACB"/>
    <w:rsid w:val="00534324"/>
    <w:rsid w:val="00557152"/>
    <w:rsid w:val="00593171"/>
    <w:rsid w:val="005D64A3"/>
    <w:rsid w:val="006C57A1"/>
    <w:rsid w:val="006E122D"/>
    <w:rsid w:val="006F76EE"/>
    <w:rsid w:val="00714FAB"/>
    <w:rsid w:val="007B62F0"/>
    <w:rsid w:val="00841DD9"/>
    <w:rsid w:val="008919DB"/>
    <w:rsid w:val="008B7DA7"/>
    <w:rsid w:val="00956AEB"/>
    <w:rsid w:val="00A204D3"/>
    <w:rsid w:val="00A924C9"/>
    <w:rsid w:val="00AB4A6A"/>
    <w:rsid w:val="00B2523A"/>
    <w:rsid w:val="00B361AD"/>
    <w:rsid w:val="00BB5A86"/>
    <w:rsid w:val="00C003FE"/>
    <w:rsid w:val="00C0230C"/>
    <w:rsid w:val="00C05546"/>
    <w:rsid w:val="00C3524D"/>
    <w:rsid w:val="00C53AF0"/>
    <w:rsid w:val="00C54501"/>
    <w:rsid w:val="00C818D8"/>
    <w:rsid w:val="00CD6515"/>
    <w:rsid w:val="00E07166"/>
    <w:rsid w:val="00EA40F2"/>
    <w:rsid w:val="00EA63B3"/>
    <w:rsid w:val="00EC5A8B"/>
    <w:rsid w:val="00ED0BC8"/>
    <w:rsid w:val="00F13168"/>
    <w:rsid w:val="00FA5F6C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5CE6"/>
  <w15:chartTrackingRefBased/>
  <w15:docId w15:val="{F5176B92-8613-4B1F-8D4F-D9644B8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2E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C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lubn-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TLUBN Sander, Winfried</dc:creator>
  <cp:keywords/>
  <dc:description/>
  <cp:lastModifiedBy>TLUBN Helm, Christian</cp:lastModifiedBy>
  <cp:revision>2</cp:revision>
  <dcterms:created xsi:type="dcterms:W3CDTF">2024-04-12T07:59:00Z</dcterms:created>
  <dcterms:modified xsi:type="dcterms:W3CDTF">2024-04-12T07:59:00Z</dcterms:modified>
</cp:coreProperties>
</file>