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BD8" w:rsidRPr="00666BD8" w:rsidRDefault="00666BD8" w:rsidP="00666BD8">
      <w:pPr>
        <w:pStyle w:val="KeinLeerraum"/>
      </w:pPr>
      <w:bookmarkStart w:id="0" w:name="_GoBack"/>
      <w:bookmarkEnd w:id="0"/>
      <w:r w:rsidRPr="00666BD8">
        <w:t>Saale-Holzland-Kreis</w:t>
      </w:r>
    </w:p>
    <w:p w:rsidR="00666BD8" w:rsidRPr="00666BD8" w:rsidRDefault="00666BD8" w:rsidP="00666BD8">
      <w:pPr>
        <w:pStyle w:val="KeinLeerraum"/>
      </w:pPr>
      <w:r w:rsidRPr="00666BD8">
        <w:t>Landratsamt</w:t>
      </w:r>
    </w:p>
    <w:p w:rsidR="00666BD8" w:rsidRPr="00666BD8" w:rsidRDefault="00666BD8" w:rsidP="00666BD8">
      <w:pPr>
        <w:pStyle w:val="KeinLeerraum"/>
      </w:pPr>
      <w:r w:rsidRPr="00666BD8">
        <w:t>Umweltamt/ Untere Immissionsschutzbehörde</w:t>
      </w:r>
    </w:p>
    <w:p w:rsidR="00666BD8" w:rsidRPr="00666BD8" w:rsidRDefault="00666BD8" w:rsidP="00666BD8">
      <w:pPr>
        <w:pStyle w:val="KeinLeerraum"/>
      </w:pPr>
    </w:p>
    <w:p w:rsidR="00666BD8" w:rsidRPr="00666BD8" w:rsidRDefault="00666BD8" w:rsidP="00666BD8">
      <w:pPr>
        <w:pStyle w:val="KeinLeerraum"/>
        <w:jc w:val="center"/>
        <w:rPr>
          <w:b/>
          <w:bCs/>
        </w:rPr>
      </w:pPr>
      <w:r w:rsidRPr="00666BD8">
        <w:rPr>
          <w:b/>
          <w:bCs/>
        </w:rPr>
        <w:t>Bekanntmachung</w:t>
      </w:r>
    </w:p>
    <w:p w:rsidR="00666BD8" w:rsidRPr="00666BD8" w:rsidRDefault="00666BD8" w:rsidP="00666BD8">
      <w:pPr>
        <w:pStyle w:val="KeinLeerraum"/>
      </w:pPr>
    </w:p>
    <w:p w:rsidR="00666BD8" w:rsidRDefault="00666BD8" w:rsidP="00666BD8">
      <w:pPr>
        <w:pStyle w:val="KeinLeerraum"/>
      </w:pPr>
      <w:r w:rsidRPr="00666BD8">
        <w:t xml:space="preserve">Die </w:t>
      </w:r>
      <w:r>
        <w:t>Shell Deutschland Oil GmbH</w:t>
      </w:r>
      <w:r w:rsidR="00954A10">
        <w:t xml:space="preserve"> Suhrenkamp 71-77</w:t>
      </w:r>
      <w:r>
        <w:t>, 22</w:t>
      </w:r>
      <w:r w:rsidR="00954A10">
        <w:t>335</w:t>
      </w:r>
      <w:r>
        <w:t xml:space="preserve"> Hamburg </w:t>
      </w:r>
      <w:r w:rsidRPr="00666BD8">
        <w:t xml:space="preserve">beantragt gemäß </w:t>
      </w:r>
      <w:r w:rsidRPr="00954A10">
        <w:t>§ 4</w:t>
      </w:r>
      <w:r w:rsidRPr="00666BD8">
        <w:t xml:space="preserve"> des Bundes-Immissionsschutzgesetzes (BImSchG) in der Fassung der Bekanntmachung vom 17.05.2013 (BGBl. I. S. 1274), zuletzt geändert durch Gesetz vom </w:t>
      </w:r>
      <w:r w:rsidRPr="00163067">
        <w:t>08.04.2019</w:t>
      </w:r>
      <w:r w:rsidRPr="00666BD8">
        <w:t xml:space="preserve"> (BGBl. I S. 432) eine </w:t>
      </w:r>
      <w:r w:rsidRPr="00954A10">
        <w:t>Genehmigung</w:t>
      </w:r>
      <w:r w:rsidRPr="00666BD8">
        <w:t xml:space="preserve"> für die Errichtung und den Betrieb einer</w:t>
      </w:r>
      <w:r w:rsidR="00954A10">
        <w:t xml:space="preserve"> ortsfesten LNG - Station Betankungsanlage</w:t>
      </w:r>
      <w:r w:rsidRPr="00666BD8">
        <w:t xml:space="preserve"> in der Gemeinde </w:t>
      </w:r>
      <w:r w:rsidR="00954A10">
        <w:t>Hermsdorf</w:t>
      </w:r>
      <w:r w:rsidRPr="00666BD8">
        <w:t xml:space="preserve">, Gemarkung </w:t>
      </w:r>
      <w:r w:rsidR="00954A10">
        <w:t>Hermsdorf</w:t>
      </w:r>
      <w:r w:rsidRPr="00666BD8">
        <w:t xml:space="preserve">, Flur </w:t>
      </w:r>
      <w:r w:rsidR="00954A10">
        <w:t>19</w:t>
      </w:r>
      <w:r w:rsidRPr="00666BD8">
        <w:t xml:space="preserve">, Flurstücke </w:t>
      </w:r>
      <w:r w:rsidR="00954A10">
        <w:t>680/186</w:t>
      </w:r>
      <w:r w:rsidRPr="00666BD8">
        <w:rPr>
          <w:highlight w:val="yellow"/>
        </w:rPr>
        <w:t>.</w:t>
      </w:r>
    </w:p>
    <w:p w:rsidR="00666BD8" w:rsidRPr="00666BD8" w:rsidRDefault="00666BD8" w:rsidP="00666BD8">
      <w:pPr>
        <w:pStyle w:val="KeinLeerraum"/>
      </w:pPr>
    </w:p>
    <w:p w:rsidR="00666BD8" w:rsidRDefault="00666BD8" w:rsidP="00666BD8">
      <w:pPr>
        <w:pStyle w:val="KeinLeerraum"/>
      </w:pPr>
      <w:r w:rsidRPr="00666BD8">
        <w:t xml:space="preserve">Das Vorhaben ist aufgrund der </w:t>
      </w:r>
      <w:r w:rsidRPr="00954A10">
        <w:t>Kapazität</w:t>
      </w:r>
      <w:r w:rsidRPr="00666BD8">
        <w:t xml:space="preserve"> nach </w:t>
      </w:r>
      <w:r w:rsidRPr="00954A10">
        <w:t xml:space="preserve">Nr. </w:t>
      </w:r>
      <w:r w:rsidR="00954A10" w:rsidRPr="00954A10">
        <w:t xml:space="preserve">9.1.1.2 </w:t>
      </w:r>
      <w:r w:rsidRPr="00954A10">
        <w:t>(V)</w:t>
      </w:r>
      <w:r w:rsidRPr="00666BD8">
        <w:t xml:space="preserve"> des Anhanges zur Verordnung über genehmigungsbedürftige Anlagen (4. BImSchV) in der Fassung der Bekanntmachung vom 31.05.2017 (BGBl. I. S. 1440), genehmigungsbedürftig im Sinne des BImSchG. </w:t>
      </w:r>
    </w:p>
    <w:p w:rsidR="00666BD8" w:rsidRPr="00666BD8" w:rsidRDefault="00666BD8" w:rsidP="00666BD8">
      <w:pPr>
        <w:pStyle w:val="KeinLeerraum"/>
        <w:rPr>
          <w:rFonts w:eastAsia="Arial Unicode MS" w:cs="Arial"/>
          <w:color w:val="000000"/>
        </w:rPr>
      </w:pPr>
    </w:p>
    <w:p w:rsidR="00666BD8" w:rsidRPr="00954A10" w:rsidRDefault="00666BD8" w:rsidP="00666BD8">
      <w:pPr>
        <w:pStyle w:val="KeinLeerraum"/>
        <w:rPr>
          <w:rFonts w:cs="Arial"/>
          <w:color w:val="000000"/>
        </w:rPr>
      </w:pPr>
      <w:r w:rsidRPr="00666BD8">
        <w:rPr>
          <w:rFonts w:cs="Arial"/>
          <w:color w:val="000000"/>
        </w:rPr>
        <w:t xml:space="preserve">Der Antrag der </w:t>
      </w:r>
      <w:r>
        <w:rPr>
          <w:rFonts w:cs="Arial"/>
          <w:color w:val="000000"/>
        </w:rPr>
        <w:t>Shell Deutschland Oil GmbH</w:t>
      </w:r>
      <w:r w:rsidR="00954A10">
        <w:rPr>
          <w:rFonts w:cs="Arial"/>
          <w:color w:val="000000"/>
        </w:rPr>
        <w:t xml:space="preserve"> </w:t>
      </w:r>
      <w:r w:rsidRPr="00666BD8">
        <w:rPr>
          <w:rFonts w:cs="Arial"/>
          <w:color w:val="000000"/>
        </w:rPr>
        <w:t xml:space="preserve">auf </w:t>
      </w:r>
      <w:r w:rsidRPr="00954A10">
        <w:t>Genehmigung</w:t>
      </w:r>
      <w:r w:rsidRPr="00666BD8">
        <w:rPr>
          <w:rFonts w:cs="Arial"/>
          <w:color w:val="000000"/>
        </w:rPr>
        <w:t xml:space="preserve"> nach </w:t>
      </w:r>
      <w:r w:rsidRPr="00954A10">
        <w:rPr>
          <w:rFonts w:cs="Arial"/>
          <w:color w:val="000000"/>
        </w:rPr>
        <w:t>§ 4</w:t>
      </w:r>
      <w:r w:rsidRPr="00666BD8">
        <w:rPr>
          <w:rFonts w:cs="Arial"/>
          <w:color w:val="000000"/>
        </w:rPr>
        <w:t xml:space="preserve"> BImSchG </w:t>
      </w:r>
      <w:r w:rsidRPr="00954A10">
        <w:rPr>
          <w:rFonts w:cs="Arial"/>
          <w:color w:val="000000"/>
        </w:rPr>
        <w:t>bezieht sich auf</w:t>
      </w:r>
      <w:r w:rsidR="005E239E">
        <w:rPr>
          <w:rFonts w:cs="Arial"/>
          <w:color w:val="000000"/>
        </w:rPr>
        <w:t xml:space="preserve"> </w:t>
      </w:r>
    </w:p>
    <w:p w:rsidR="00666BD8" w:rsidRPr="005E239E" w:rsidRDefault="00954A10" w:rsidP="005E239E">
      <w:pPr>
        <w:pStyle w:val="KeinLeerraum"/>
        <w:rPr>
          <w:rFonts w:cs="Arial"/>
          <w:color w:val="000000"/>
          <w:u w:val="single"/>
        </w:rPr>
      </w:pPr>
      <w:r w:rsidRPr="005E239E">
        <w:rPr>
          <w:rFonts w:cs="Arial"/>
          <w:color w:val="000000"/>
        </w:rPr>
        <w:t xml:space="preserve">die Neugenehmigung </w:t>
      </w:r>
      <w:r w:rsidR="005E239E" w:rsidRPr="005E239E">
        <w:rPr>
          <w:rFonts w:cs="Arial"/>
          <w:color w:val="000000"/>
        </w:rPr>
        <w:t xml:space="preserve">einer Anlage - hier </w:t>
      </w:r>
      <w:r w:rsidR="005E239E" w:rsidRPr="005E239E">
        <w:t xml:space="preserve">ortsfesten LNG </w:t>
      </w:r>
      <w:r w:rsidR="009442E5">
        <w:t xml:space="preserve">(Liquefied Natural Gas </w:t>
      </w:r>
      <w:r w:rsidR="009442E5">
        <w:rPr>
          <w:rFonts w:cs="Arial"/>
        </w:rPr>
        <w:t>꞊</w:t>
      </w:r>
      <w:r w:rsidR="009442E5">
        <w:t xml:space="preserve"> verflüssigtes </w:t>
      </w:r>
      <w:r w:rsidR="00A54C45">
        <w:t>Erdgas)</w:t>
      </w:r>
      <w:r w:rsidR="00A54C45" w:rsidRPr="005E239E">
        <w:t xml:space="preserve"> -</w:t>
      </w:r>
      <w:r w:rsidR="005E239E" w:rsidRPr="005E239E">
        <w:t xml:space="preserve"> Betankungsanlage</w:t>
      </w:r>
      <w:r w:rsidR="005E239E">
        <w:t>.</w:t>
      </w:r>
      <w:r w:rsidRPr="005E239E">
        <w:rPr>
          <w:rFonts w:cs="Arial"/>
          <w:color w:val="000000"/>
        </w:rPr>
        <w:t xml:space="preserve"> </w:t>
      </w:r>
    </w:p>
    <w:p w:rsidR="00666BD8" w:rsidRPr="005E239E" w:rsidRDefault="00666BD8" w:rsidP="00666BD8">
      <w:pPr>
        <w:pStyle w:val="KeinLeerraum"/>
        <w:rPr>
          <w:rFonts w:cs="Arial"/>
          <w:color w:val="000000"/>
          <w:u w:val="single"/>
        </w:rPr>
      </w:pPr>
    </w:p>
    <w:p w:rsidR="00666BD8" w:rsidRDefault="00666BD8" w:rsidP="00666BD8">
      <w:pPr>
        <w:pStyle w:val="KeinLeerraum"/>
        <w:rPr>
          <w:rFonts w:cs="Arial"/>
        </w:rPr>
      </w:pPr>
      <w:r w:rsidRPr="00666BD8">
        <w:rPr>
          <w:rFonts w:cs="Arial"/>
        </w:rPr>
        <w:t xml:space="preserve">Aufgrund der </w:t>
      </w:r>
      <w:r w:rsidRPr="005E239E">
        <w:rPr>
          <w:rFonts w:cs="Arial"/>
        </w:rPr>
        <w:t>Kapazität</w:t>
      </w:r>
      <w:r w:rsidRPr="00666BD8">
        <w:rPr>
          <w:rFonts w:cs="Arial"/>
        </w:rPr>
        <w:t xml:space="preserve"> de</w:t>
      </w:r>
      <w:r w:rsidR="005E239E">
        <w:rPr>
          <w:rFonts w:cs="Arial"/>
        </w:rPr>
        <w:t>r</w:t>
      </w:r>
      <w:r w:rsidRPr="00666BD8">
        <w:rPr>
          <w:rFonts w:cs="Arial"/>
        </w:rPr>
        <w:t xml:space="preserve"> </w:t>
      </w:r>
      <w:r w:rsidR="005E239E">
        <w:t>ortsfesten LNG - Betankungsanlage</w:t>
      </w:r>
      <w:r w:rsidRPr="00666BD8">
        <w:rPr>
          <w:rFonts w:cs="Arial"/>
        </w:rPr>
        <w:t xml:space="preserve"> war eine </w:t>
      </w:r>
      <w:r w:rsidRPr="005E239E">
        <w:rPr>
          <w:rFonts w:cs="Arial"/>
        </w:rPr>
        <w:t>standortbezogene</w:t>
      </w:r>
      <w:r w:rsidRPr="00666BD8">
        <w:rPr>
          <w:rFonts w:cs="Arial"/>
        </w:rPr>
        <w:t xml:space="preserve"> Vorprüfung des Einzelfalles auf der Grundlage des § 7 Abs. Abs. 2 des Gesetzes über die Umweltverträglichkeitsprüfung (UVPG) in der Fassung der Bekanntmachung vom 24.02.2010 (BGBl. I S. 94), </w:t>
      </w:r>
      <w:r w:rsidRPr="00666BD8">
        <w:t xml:space="preserve">zuletzt geändert durch Art. 22 des Gesetzes vom </w:t>
      </w:r>
      <w:r w:rsidRPr="005E239E">
        <w:t>13.05.2019</w:t>
      </w:r>
      <w:r w:rsidRPr="00666BD8">
        <w:t xml:space="preserve"> (BGBl. I S. 706) </w:t>
      </w:r>
      <w:r w:rsidRPr="00666BD8">
        <w:rPr>
          <w:rFonts w:cs="Arial"/>
        </w:rPr>
        <w:t xml:space="preserve">unter Berücksichtigung der Kriterien der Anlage 3 zum UVPG durchzuführen. </w:t>
      </w:r>
    </w:p>
    <w:p w:rsidR="00666BD8" w:rsidRPr="00666BD8" w:rsidRDefault="00666BD8" w:rsidP="00666BD8">
      <w:pPr>
        <w:pStyle w:val="KeinLeerraum"/>
        <w:rPr>
          <w:rFonts w:cs="Arial"/>
        </w:rPr>
      </w:pPr>
    </w:p>
    <w:p w:rsidR="00666BD8" w:rsidRPr="00666BD8" w:rsidRDefault="00666BD8" w:rsidP="00666BD8">
      <w:pPr>
        <w:pStyle w:val="KeinLeerraum"/>
        <w:rPr>
          <w:rFonts w:cs="Arial"/>
          <w:u w:val="single"/>
        </w:rPr>
      </w:pPr>
      <w:r w:rsidRPr="00666BD8">
        <w:rPr>
          <w:rFonts w:cs="Arial"/>
          <w:u w:val="single"/>
        </w:rPr>
        <w:t>Ergebnis der Prüfung nach § 7 UVPG:</w:t>
      </w:r>
    </w:p>
    <w:p w:rsidR="005E239E" w:rsidRDefault="00666BD8" w:rsidP="00666BD8">
      <w:pPr>
        <w:pStyle w:val="KeinLeerraum"/>
        <w:rPr>
          <w:rFonts w:cs="Arial"/>
        </w:rPr>
      </w:pPr>
      <w:r w:rsidRPr="00666BD8">
        <w:rPr>
          <w:rFonts w:cs="Arial"/>
        </w:rPr>
        <w:t xml:space="preserve">Im Ergebnis der </w:t>
      </w:r>
      <w:r w:rsidRPr="005E239E">
        <w:rPr>
          <w:rFonts w:cs="Arial"/>
        </w:rPr>
        <w:t>standortbezogenen</w:t>
      </w:r>
      <w:r w:rsidRPr="00666BD8">
        <w:rPr>
          <w:rFonts w:cs="Arial"/>
        </w:rPr>
        <w:t xml:space="preserve"> Vorprüfung des Einzelfalles anhand der Kriterien der Anlage 3 zum UVPG wird festgestellt, dass unter Berücksichtigung </w:t>
      </w:r>
      <w:r w:rsidRPr="005E239E">
        <w:rPr>
          <w:rFonts w:cs="Arial"/>
        </w:rPr>
        <w:t xml:space="preserve">der Merkmale </w:t>
      </w:r>
      <w:r w:rsidR="009442E5" w:rsidRPr="005E239E">
        <w:rPr>
          <w:rFonts w:cs="Arial"/>
        </w:rPr>
        <w:t>des Vorhabens</w:t>
      </w:r>
      <w:r w:rsidR="009442E5">
        <w:rPr>
          <w:rFonts w:cs="Arial"/>
        </w:rPr>
        <w:t xml:space="preserve"> und</w:t>
      </w:r>
      <w:r w:rsidRPr="005E239E">
        <w:rPr>
          <w:rFonts w:cs="Arial"/>
        </w:rPr>
        <w:t xml:space="preserve"> des Standortes </w:t>
      </w:r>
      <w:r w:rsidRPr="00666BD8">
        <w:rPr>
          <w:rFonts w:cs="Arial"/>
        </w:rPr>
        <w:t>sich keine erheblich nachteiligen Umwelteinwirkungen auf die nach § 1 BImSchG genannten Schutzgüter ergeben haben</w:t>
      </w:r>
      <w:r w:rsidR="005E239E">
        <w:rPr>
          <w:rFonts w:cs="Arial"/>
        </w:rPr>
        <w:t>.</w:t>
      </w:r>
    </w:p>
    <w:p w:rsidR="005E239E" w:rsidRDefault="005E239E" w:rsidP="005E239E">
      <w:pPr>
        <w:pStyle w:val="KeinLeerraum"/>
        <w:rPr>
          <w:rFonts w:cs="Arial"/>
          <w:szCs w:val="22"/>
        </w:rPr>
      </w:pPr>
      <w:r>
        <w:rPr>
          <w:rFonts w:cs="Arial"/>
          <w:szCs w:val="22"/>
        </w:rPr>
        <w:t>Der Standort des Vorhabens befindet sich im Gewerbegebiet in einer Trinkwasserschutzzone. Das Erdgas ist kein wassergefährdender Stoff. Weiterhin werden alle Leitungen/Rohe nach dem Regelwerk der TWSG hergestellt. Die geplanten und zu installierenden Schutzvorkehrungen (Sicherheitseinrichtungen) verhindern den unkontrollierten Austritt von LNG, welches ohnehin als Produkt verkauft werden soll. Weitere wasserrechtliche Forderungen werden</w:t>
      </w:r>
      <w:r w:rsidR="009442E5">
        <w:rPr>
          <w:rFonts w:cs="Arial"/>
          <w:szCs w:val="22"/>
        </w:rPr>
        <w:t>,</w:t>
      </w:r>
      <w:r>
        <w:rPr>
          <w:rFonts w:cs="Arial"/>
          <w:szCs w:val="22"/>
        </w:rPr>
        <w:t xml:space="preserve"> falls sie noch nicht in den Unterlagen zur Genehmigung enthalten sind, durch Nebenbestimmungen festgesetzt.</w:t>
      </w:r>
    </w:p>
    <w:p w:rsidR="009442E5" w:rsidRDefault="009442E5" w:rsidP="005E239E">
      <w:pPr>
        <w:pStyle w:val="KeinLeerraum"/>
        <w:rPr>
          <w:rFonts w:cs="Arial"/>
          <w:szCs w:val="22"/>
        </w:rPr>
      </w:pPr>
    </w:p>
    <w:p w:rsidR="00666BD8" w:rsidRDefault="00163067" w:rsidP="00666BD8">
      <w:pPr>
        <w:pStyle w:val="KeinLeerraum"/>
        <w:rPr>
          <w:rFonts w:cs="Arial"/>
        </w:rPr>
      </w:pPr>
      <w:r>
        <w:rPr>
          <w:rFonts w:cs="Arial"/>
        </w:rPr>
        <w:t>Es besteht</w:t>
      </w:r>
      <w:r w:rsidR="00666BD8" w:rsidRPr="00666BD8">
        <w:rPr>
          <w:rFonts w:cs="Arial"/>
        </w:rPr>
        <w:t xml:space="preserve"> somit keine Verpflichtung zur Durchführung einer Umweltverträglichkeitsprüfung.</w:t>
      </w:r>
    </w:p>
    <w:p w:rsidR="00666BD8" w:rsidRPr="00666BD8" w:rsidRDefault="00666BD8" w:rsidP="00666BD8">
      <w:pPr>
        <w:pStyle w:val="KeinLeerraum"/>
        <w:rPr>
          <w:rFonts w:cs="Arial"/>
          <w:color w:val="000000"/>
        </w:rPr>
      </w:pPr>
    </w:p>
    <w:p w:rsidR="00666BD8" w:rsidRDefault="00666BD8" w:rsidP="00666BD8">
      <w:pPr>
        <w:pStyle w:val="KeinLeerraum"/>
      </w:pPr>
      <w:r w:rsidRPr="00666BD8">
        <w:t>Es wird darauf hingewiesen, dass diese Entscheidung gemäß § 5 Abs. 3 UVPG nicht selbständig anfechtbar ist. Die Entscheidungsgründe sind der Öffentlichkeit nach den Bestimmungen des Thüringer Umweltinformationsgesetzes (ThürUIG) in der Fassung der Bekanntmachung vom 10.10.2006 (GVBl. 2006, S. 513), im Landratsamt des Saale-Holzland-Kreises, Umweltamt</w:t>
      </w:r>
      <w:r w:rsidRPr="005E239E">
        <w:t>/ Untere Immissionsschutzbehö</w:t>
      </w:r>
      <w:r w:rsidR="005E239E">
        <w:t>rde, Schlossgasse 17, Zimmer 118,</w:t>
      </w:r>
      <w:r w:rsidRPr="00666BD8">
        <w:t xml:space="preserve"> 07607 Eisenberg zugänglich.</w:t>
      </w:r>
    </w:p>
    <w:p w:rsidR="00666BD8" w:rsidRPr="00666BD8" w:rsidRDefault="00666BD8" w:rsidP="00666BD8">
      <w:pPr>
        <w:pStyle w:val="KeinLeerraum"/>
      </w:pPr>
    </w:p>
    <w:p w:rsidR="00666BD8" w:rsidRPr="00666BD8" w:rsidRDefault="00666BD8" w:rsidP="00666BD8">
      <w:pPr>
        <w:pStyle w:val="KeinLeerraum"/>
      </w:pPr>
      <w:r w:rsidRPr="00666BD8">
        <w:t xml:space="preserve">Eisenberg, den </w:t>
      </w:r>
      <w:r>
        <w:t>18.02.2020</w:t>
      </w:r>
    </w:p>
    <w:p w:rsidR="00666BD8" w:rsidRDefault="00666BD8" w:rsidP="00666BD8">
      <w:pPr>
        <w:pStyle w:val="KeinLeerraum"/>
      </w:pPr>
    </w:p>
    <w:p w:rsidR="00666BD8" w:rsidRDefault="00666BD8" w:rsidP="00666BD8">
      <w:pPr>
        <w:pStyle w:val="KeinLeerraum"/>
      </w:pPr>
    </w:p>
    <w:p w:rsidR="00666BD8" w:rsidRPr="00666BD8" w:rsidRDefault="00666BD8" w:rsidP="00666BD8">
      <w:pPr>
        <w:pStyle w:val="KeinLeerraum"/>
        <w:jc w:val="both"/>
      </w:pPr>
    </w:p>
    <w:p w:rsidR="00666BD8" w:rsidRPr="00666BD8" w:rsidRDefault="00666BD8" w:rsidP="00666BD8">
      <w:pPr>
        <w:pStyle w:val="KeinLeerraum"/>
      </w:pPr>
      <w:r w:rsidRPr="00666BD8">
        <w:t>Tröbst</w:t>
      </w:r>
    </w:p>
    <w:p w:rsidR="001A7995" w:rsidRPr="00666BD8" w:rsidRDefault="00666BD8" w:rsidP="00666BD8">
      <w:pPr>
        <w:pStyle w:val="KeinLeerraum"/>
      </w:pPr>
      <w:r>
        <w:t>Amtsleiter</w:t>
      </w:r>
    </w:p>
    <w:sectPr w:rsidR="001A7995" w:rsidRPr="00666BD8" w:rsidSect="00E53E58">
      <w:pgSz w:w="11906" w:h="16838"/>
      <w:pgMar w:top="567" w:right="87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38B" w:rsidRDefault="0035038B">
      <w:r>
        <w:separator/>
      </w:r>
    </w:p>
  </w:endnote>
  <w:endnote w:type="continuationSeparator" w:id="0">
    <w:p w:rsidR="0035038B" w:rsidRDefault="0035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38B" w:rsidRDefault="0035038B">
      <w:r>
        <w:separator/>
      </w:r>
    </w:p>
  </w:footnote>
  <w:footnote w:type="continuationSeparator" w:id="0">
    <w:p w:rsidR="0035038B" w:rsidRDefault="00350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1527"/>
    <w:multiLevelType w:val="hybridMultilevel"/>
    <w:tmpl w:val="3A8C9126"/>
    <w:lvl w:ilvl="0" w:tplc="6BE0CA9A">
      <w:start w:val="67"/>
      <w:numFmt w:val="bullet"/>
      <w:lvlText w:val=""/>
      <w:lvlJc w:val="left"/>
      <w:pPr>
        <w:tabs>
          <w:tab w:val="num" w:pos="357"/>
        </w:tabs>
        <w:ind w:left="357" w:hanging="357"/>
      </w:pPr>
      <w:rPr>
        <w:rFonts w:ascii="Symbol" w:eastAsia="Times New Roman"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726E23"/>
    <w:multiLevelType w:val="hybridMultilevel"/>
    <w:tmpl w:val="BAEA511C"/>
    <w:lvl w:ilvl="0" w:tplc="915E5536">
      <w:start w:val="67"/>
      <w:numFmt w:val="bullet"/>
      <w:lvlText w:val=""/>
      <w:lvlJc w:val="left"/>
      <w:pPr>
        <w:tabs>
          <w:tab w:val="num" w:pos="357"/>
        </w:tabs>
        <w:ind w:left="357" w:hanging="357"/>
      </w:pPr>
      <w:rPr>
        <w:rFonts w:ascii="Symbol" w:eastAsia="Times New Roman" w:hAnsi="Symbol" w:hint="default"/>
      </w:rPr>
    </w:lvl>
    <w:lvl w:ilvl="1" w:tplc="0D26D60E">
      <w:start w:val="1"/>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F3"/>
    <w:rsid w:val="00042619"/>
    <w:rsid w:val="000D643A"/>
    <w:rsid w:val="000F0654"/>
    <w:rsid w:val="000F4E93"/>
    <w:rsid w:val="000F5C0C"/>
    <w:rsid w:val="000F77C6"/>
    <w:rsid w:val="00163067"/>
    <w:rsid w:val="0017008D"/>
    <w:rsid w:val="00183523"/>
    <w:rsid w:val="001A7995"/>
    <w:rsid w:val="001B138B"/>
    <w:rsid w:val="00245A24"/>
    <w:rsid w:val="002C0D64"/>
    <w:rsid w:val="002D7BCD"/>
    <w:rsid w:val="0030308D"/>
    <w:rsid w:val="0035038B"/>
    <w:rsid w:val="003A1722"/>
    <w:rsid w:val="003C30C4"/>
    <w:rsid w:val="003E2B55"/>
    <w:rsid w:val="00483846"/>
    <w:rsid w:val="00504434"/>
    <w:rsid w:val="005C1416"/>
    <w:rsid w:val="005E239E"/>
    <w:rsid w:val="005F5DFF"/>
    <w:rsid w:val="00666257"/>
    <w:rsid w:val="00666BD8"/>
    <w:rsid w:val="006A306E"/>
    <w:rsid w:val="006D0041"/>
    <w:rsid w:val="006F5A5C"/>
    <w:rsid w:val="0077472E"/>
    <w:rsid w:val="007B346D"/>
    <w:rsid w:val="007C5836"/>
    <w:rsid w:val="007E51E9"/>
    <w:rsid w:val="007F7979"/>
    <w:rsid w:val="008B3BC0"/>
    <w:rsid w:val="008C5192"/>
    <w:rsid w:val="009442E5"/>
    <w:rsid w:val="00952B08"/>
    <w:rsid w:val="00954A10"/>
    <w:rsid w:val="009E497D"/>
    <w:rsid w:val="00A54C45"/>
    <w:rsid w:val="00AC6733"/>
    <w:rsid w:val="00AF2AB4"/>
    <w:rsid w:val="00AF4855"/>
    <w:rsid w:val="00B71D7C"/>
    <w:rsid w:val="00BB656B"/>
    <w:rsid w:val="00BD480A"/>
    <w:rsid w:val="00C876F3"/>
    <w:rsid w:val="00CB7C34"/>
    <w:rsid w:val="00D95D15"/>
    <w:rsid w:val="00E433DD"/>
    <w:rsid w:val="00E50194"/>
    <w:rsid w:val="00E53E58"/>
    <w:rsid w:val="00EC6B1F"/>
    <w:rsid w:val="00F4294E"/>
    <w:rsid w:val="00F4460C"/>
    <w:rsid w:val="00F64F08"/>
    <w:rsid w:val="00FD4C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E3D4D9-9F81-4C14-8CD0-1359913C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3E58"/>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6D0041"/>
    <w:rPr>
      <w:szCs w:val="20"/>
    </w:rPr>
  </w:style>
  <w:style w:type="character" w:customStyle="1" w:styleId="TextkrperZchn">
    <w:name w:val="Textkörper Zchn"/>
    <w:basedOn w:val="Absatz-Standardschriftart"/>
    <w:link w:val="Textkrper"/>
    <w:uiPriority w:val="99"/>
    <w:semiHidden/>
    <w:locked/>
    <w:rPr>
      <w:rFonts w:cs="Times New Roman"/>
      <w:sz w:val="24"/>
      <w:szCs w:val="24"/>
    </w:rPr>
  </w:style>
  <w:style w:type="paragraph" w:styleId="Kopfzeile">
    <w:name w:val="header"/>
    <w:basedOn w:val="Standard"/>
    <w:link w:val="KopfzeileZchn"/>
    <w:uiPriority w:val="99"/>
    <w:rsid w:val="006D0041"/>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rPr>
  </w:style>
  <w:style w:type="paragraph" w:styleId="Fuzeile">
    <w:name w:val="footer"/>
    <w:basedOn w:val="Standard"/>
    <w:link w:val="FuzeileZchn"/>
    <w:uiPriority w:val="99"/>
    <w:rsid w:val="006D0041"/>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rPr>
  </w:style>
  <w:style w:type="paragraph" w:styleId="Textkrper3">
    <w:name w:val="Body Text 3"/>
    <w:basedOn w:val="Standard"/>
    <w:link w:val="Textkrper3Zchn"/>
    <w:uiPriority w:val="99"/>
    <w:semiHidden/>
    <w:unhideWhenUsed/>
    <w:rsid w:val="000F77C6"/>
    <w:pPr>
      <w:spacing w:after="120"/>
    </w:pPr>
    <w:rPr>
      <w:sz w:val="16"/>
      <w:szCs w:val="16"/>
    </w:rPr>
  </w:style>
  <w:style w:type="character" w:customStyle="1" w:styleId="Textkrper3Zchn">
    <w:name w:val="Textkörper 3 Zchn"/>
    <w:basedOn w:val="Absatz-Standardschriftart"/>
    <w:link w:val="Textkrper3"/>
    <w:uiPriority w:val="99"/>
    <w:semiHidden/>
    <w:locked/>
    <w:rsid w:val="000F77C6"/>
    <w:rPr>
      <w:rFonts w:cs="Times New Roman"/>
      <w:sz w:val="16"/>
      <w:szCs w:val="16"/>
    </w:rPr>
  </w:style>
  <w:style w:type="paragraph" w:styleId="KeinLeerraum">
    <w:name w:val="No Spacing"/>
    <w:uiPriority w:val="1"/>
    <w:qFormat/>
    <w:rsid w:val="00CB7C34"/>
    <w:rPr>
      <w:rFonts w:cs="Times New Roman"/>
      <w:szCs w:val="24"/>
    </w:rPr>
  </w:style>
  <w:style w:type="paragraph" w:styleId="Textkrper2">
    <w:name w:val="Body Text 2"/>
    <w:basedOn w:val="Standard"/>
    <w:link w:val="Textkrper2Zchn"/>
    <w:uiPriority w:val="99"/>
    <w:semiHidden/>
    <w:unhideWhenUsed/>
    <w:rsid w:val="003A1722"/>
    <w:pPr>
      <w:spacing w:after="120" w:line="480" w:lineRule="auto"/>
    </w:pPr>
  </w:style>
  <w:style w:type="character" w:customStyle="1" w:styleId="Textkrper2Zchn">
    <w:name w:val="Textkörper 2 Zchn"/>
    <w:basedOn w:val="Absatz-Standardschriftart"/>
    <w:link w:val="Textkrper2"/>
    <w:uiPriority w:val="99"/>
    <w:semiHidden/>
    <w:locked/>
    <w:rsid w:val="003A1722"/>
    <w:rPr>
      <w:rFonts w:ascii="Arial" w:hAnsi="Arial" w:cs="Times New Roman"/>
      <w:sz w:val="24"/>
      <w:szCs w:val="24"/>
    </w:rPr>
  </w:style>
  <w:style w:type="paragraph" w:styleId="Listenabsatz">
    <w:name w:val="List Paragraph"/>
    <w:basedOn w:val="Standard"/>
    <w:uiPriority w:val="34"/>
    <w:qFormat/>
    <w:rsid w:val="00666BD8"/>
    <w:pPr>
      <w:ind w:left="720"/>
      <w:contextualSpacing/>
    </w:pPr>
  </w:style>
  <w:style w:type="paragraph" w:styleId="Sprechblasentext">
    <w:name w:val="Balloon Text"/>
    <w:basedOn w:val="Standard"/>
    <w:link w:val="SprechblasentextZchn"/>
    <w:uiPriority w:val="99"/>
    <w:semiHidden/>
    <w:unhideWhenUsed/>
    <w:rsid w:val="00A54C4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4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37713">
      <w:marLeft w:val="0"/>
      <w:marRight w:val="0"/>
      <w:marTop w:val="0"/>
      <w:marBottom w:val="0"/>
      <w:divBdr>
        <w:top w:val="none" w:sz="0" w:space="0" w:color="auto"/>
        <w:left w:val="none" w:sz="0" w:space="0" w:color="auto"/>
        <w:bottom w:val="none" w:sz="0" w:space="0" w:color="auto"/>
        <w:right w:val="none" w:sz="0" w:space="0" w:color="auto"/>
      </w:divBdr>
    </w:div>
    <w:div w:id="285737714">
      <w:marLeft w:val="0"/>
      <w:marRight w:val="0"/>
      <w:marTop w:val="0"/>
      <w:marBottom w:val="0"/>
      <w:divBdr>
        <w:top w:val="none" w:sz="0" w:space="0" w:color="auto"/>
        <w:left w:val="none" w:sz="0" w:space="0" w:color="auto"/>
        <w:bottom w:val="none" w:sz="0" w:space="0" w:color="auto"/>
        <w:right w:val="none" w:sz="0" w:space="0" w:color="auto"/>
      </w:divBdr>
    </w:div>
    <w:div w:id="285737715">
      <w:marLeft w:val="0"/>
      <w:marRight w:val="0"/>
      <w:marTop w:val="0"/>
      <w:marBottom w:val="0"/>
      <w:divBdr>
        <w:top w:val="none" w:sz="0" w:space="0" w:color="auto"/>
        <w:left w:val="none" w:sz="0" w:space="0" w:color="auto"/>
        <w:bottom w:val="none" w:sz="0" w:space="0" w:color="auto"/>
        <w:right w:val="none" w:sz="0" w:space="0" w:color="auto"/>
      </w:divBdr>
    </w:div>
    <w:div w:id="285737716">
      <w:marLeft w:val="0"/>
      <w:marRight w:val="0"/>
      <w:marTop w:val="0"/>
      <w:marBottom w:val="0"/>
      <w:divBdr>
        <w:top w:val="none" w:sz="0" w:space="0" w:color="auto"/>
        <w:left w:val="none" w:sz="0" w:space="0" w:color="auto"/>
        <w:bottom w:val="none" w:sz="0" w:space="0" w:color="auto"/>
        <w:right w:val="none" w:sz="0" w:space="0" w:color="auto"/>
      </w:divBdr>
    </w:div>
    <w:div w:id="285737717">
      <w:marLeft w:val="0"/>
      <w:marRight w:val="0"/>
      <w:marTop w:val="0"/>
      <w:marBottom w:val="0"/>
      <w:divBdr>
        <w:top w:val="none" w:sz="0" w:space="0" w:color="auto"/>
        <w:left w:val="none" w:sz="0" w:space="0" w:color="auto"/>
        <w:bottom w:val="none" w:sz="0" w:space="0" w:color="auto"/>
        <w:right w:val="none" w:sz="0" w:space="0" w:color="auto"/>
      </w:divBdr>
    </w:div>
    <w:div w:id="285737718">
      <w:marLeft w:val="0"/>
      <w:marRight w:val="0"/>
      <w:marTop w:val="0"/>
      <w:marBottom w:val="0"/>
      <w:divBdr>
        <w:top w:val="none" w:sz="0" w:space="0" w:color="auto"/>
        <w:left w:val="none" w:sz="0" w:space="0" w:color="auto"/>
        <w:bottom w:val="none" w:sz="0" w:space="0" w:color="auto"/>
        <w:right w:val="none" w:sz="0" w:space="0" w:color="auto"/>
      </w:divBdr>
    </w:div>
    <w:div w:id="285737719">
      <w:marLeft w:val="0"/>
      <w:marRight w:val="0"/>
      <w:marTop w:val="0"/>
      <w:marBottom w:val="0"/>
      <w:divBdr>
        <w:top w:val="none" w:sz="0" w:space="0" w:color="auto"/>
        <w:left w:val="none" w:sz="0" w:space="0" w:color="auto"/>
        <w:bottom w:val="none" w:sz="0" w:space="0" w:color="auto"/>
        <w:right w:val="none" w:sz="0" w:space="0" w:color="auto"/>
      </w:divBdr>
    </w:div>
    <w:div w:id="136822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58AFAE2E</Template>
  <TotalTime>0</TotalTime>
  <Pages>1</Pages>
  <Words>379</Words>
  <Characters>2533</Characters>
  <Application>Microsoft Office Word</Application>
  <DocSecurity>0</DocSecurity>
  <Lines>52</Lines>
  <Paragraphs>19</Paragraphs>
  <ScaleCrop>false</ScaleCrop>
  <HeadingPairs>
    <vt:vector size="2" baseType="variant">
      <vt:variant>
        <vt:lpstr>Titel</vt:lpstr>
      </vt:variant>
      <vt:variant>
        <vt:i4>1</vt:i4>
      </vt:variant>
    </vt:vector>
  </HeadingPairs>
  <TitlesOfParts>
    <vt:vector size="1" baseType="lpstr">
      <vt:lpstr/>
    </vt:vector>
  </TitlesOfParts>
  <Company>LRA Saale-Holzland-Kreis</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dc:creator>
  <cp:keywords/>
  <dc:description/>
  <cp:lastModifiedBy>Kliesch, Ines</cp:lastModifiedBy>
  <cp:revision>2</cp:revision>
  <cp:lastPrinted>2020-02-18T14:24:00Z</cp:lastPrinted>
  <dcterms:created xsi:type="dcterms:W3CDTF">2020-07-20T09:55:00Z</dcterms:created>
  <dcterms:modified xsi:type="dcterms:W3CDTF">2020-07-20T09:55:00Z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787210</vt:lpwstr>
  </property>
</Properties>
</file>