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A0B4" w14:textId="77777777" w:rsidR="00CF78FC" w:rsidRDefault="00CF78FC" w:rsidP="00CF78FC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Öffentliche Bekanntgabe des Landesamtes für Geologie und Bergwesen Sachsen-Anhalt, Dezernat 33 – Besondere Verfahrensarten</w:t>
      </w:r>
    </w:p>
    <w:p w14:paraId="6518D6C1" w14:textId="49617F1F" w:rsidR="00CF78FC" w:rsidRDefault="00A6458A" w:rsidP="00CF78FC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Allgemeine </w:t>
      </w:r>
      <w:r w:rsidR="00991BBE">
        <w:rPr>
          <w:rFonts w:ascii="Arial" w:hAnsi="Arial" w:cs="Arial"/>
          <w:b/>
          <w:sz w:val="22"/>
          <w:szCs w:val="22"/>
        </w:rPr>
        <w:t>Vorprüfung</w:t>
      </w:r>
      <w:r w:rsidR="00CF78FC">
        <w:rPr>
          <w:rFonts w:ascii="Arial" w:hAnsi="Arial" w:cs="Arial"/>
          <w:b/>
          <w:sz w:val="22"/>
          <w:szCs w:val="22"/>
        </w:rPr>
        <w:t xml:space="preserve"> gemäß § </w:t>
      </w:r>
      <w:r w:rsidR="00991BBE">
        <w:rPr>
          <w:rFonts w:ascii="Arial" w:hAnsi="Arial" w:cs="Arial"/>
          <w:b/>
          <w:sz w:val="22"/>
          <w:szCs w:val="22"/>
        </w:rPr>
        <w:t xml:space="preserve">7 </w:t>
      </w:r>
      <w:r>
        <w:rPr>
          <w:rFonts w:ascii="Arial" w:hAnsi="Arial" w:cs="Arial"/>
          <w:b/>
          <w:sz w:val="22"/>
          <w:szCs w:val="22"/>
        </w:rPr>
        <w:t xml:space="preserve">Abs. 1 </w:t>
      </w:r>
      <w:r w:rsidR="00CF78FC">
        <w:rPr>
          <w:rFonts w:ascii="Arial" w:hAnsi="Arial" w:cs="Arial"/>
          <w:b/>
          <w:sz w:val="22"/>
          <w:szCs w:val="22"/>
        </w:rPr>
        <w:t>Gesetz über die Umweltverträglichkeitsprüfung (UVPG) bezogen auf das Vorhaben Erweiterung de</w:t>
      </w:r>
      <w:r>
        <w:rPr>
          <w:rFonts w:ascii="Arial" w:hAnsi="Arial" w:cs="Arial"/>
          <w:b/>
          <w:sz w:val="22"/>
          <w:szCs w:val="22"/>
        </w:rPr>
        <w:t>r</w:t>
      </w:r>
      <w:r w:rsidR="00CF78FC">
        <w:rPr>
          <w:rFonts w:ascii="Arial" w:hAnsi="Arial" w:cs="Arial"/>
          <w:b/>
          <w:sz w:val="22"/>
          <w:szCs w:val="22"/>
        </w:rPr>
        <w:t xml:space="preserve"> Sol</w:t>
      </w:r>
      <w:r>
        <w:rPr>
          <w:rFonts w:ascii="Arial" w:hAnsi="Arial" w:cs="Arial"/>
          <w:b/>
          <w:sz w:val="22"/>
          <w:szCs w:val="22"/>
        </w:rPr>
        <w:t xml:space="preserve">eproduktion - Neubohrung </w:t>
      </w:r>
      <w:proofErr w:type="spellStart"/>
      <w:r>
        <w:rPr>
          <w:rFonts w:ascii="Arial" w:hAnsi="Arial" w:cs="Arial"/>
          <w:b/>
          <w:sz w:val="22"/>
          <w:szCs w:val="22"/>
        </w:rPr>
        <w:t>Lt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65 - </w:t>
      </w:r>
      <w:r w:rsidR="00991BB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Sol- </w:t>
      </w:r>
      <w:r w:rsidR="00991BBE">
        <w:rPr>
          <w:rFonts w:ascii="Arial" w:hAnsi="Arial" w:cs="Arial"/>
          <w:b/>
          <w:sz w:val="22"/>
          <w:szCs w:val="22"/>
        </w:rPr>
        <w:t xml:space="preserve">und Speicherfeldes </w:t>
      </w:r>
      <w:proofErr w:type="spellStart"/>
      <w:r w:rsidR="00991BBE">
        <w:rPr>
          <w:rFonts w:ascii="Arial" w:hAnsi="Arial" w:cs="Arial"/>
          <w:b/>
          <w:sz w:val="22"/>
          <w:szCs w:val="22"/>
        </w:rPr>
        <w:t>Teutschenthal</w:t>
      </w:r>
      <w:proofErr w:type="spellEnd"/>
    </w:p>
    <w:p w14:paraId="04F3A141" w14:textId="77777777" w:rsidR="00CF78FC" w:rsidRDefault="00CF78FC" w:rsidP="00CF78FC">
      <w:pPr>
        <w:pStyle w:val="Vermerk"/>
        <w:spacing w:after="120"/>
      </w:pPr>
    </w:p>
    <w:p w14:paraId="117DE6C0" w14:textId="3A100917" w:rsidR="00CF78FC" w:rsidRDefault="00CF78FC" w:rsidP="00CF78FC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991BBE">
        <w:rPr>
          <w:rFonts w:ascii="Arial" w:hAnsi="Arial" w:cs="Arial"/>
          <w:sz w:val="22"/>
          <w:szCs w:val="22"/>
        </w:rPr>
        <w:t>Dow Olefinverbund GmbH (Dow) beantragte mit Schreiben vom 1</w:t>
      </w:r>
      <w:r w:rsidR="00A645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A6458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</w:t>
      </w:r>
      <w:r w:rsidR="00A6458A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beim Landes</w:t>
      </w:r>
      <w:r>
        <w:rPr>
          <w:rFonts w:ascii="Arial" w:hAnsi="Arial" w:cs="Arial"/>
          <w:sz w:val="22"/>
          <w:szCs w:val="22"/>
        </w:rPr>
        <w:softHyphen/>
        <w:t xml:space="preserve">amt für Geologie und Bergwesen Sachsen-Anhalt (LAGB) die </w:t>
      </w:r>
      <w:r w:rsidR="00A6458A">
        <w:rPr>
          <w:rFonts w:ascii="Arial" w:hAnsi="Arial" w:cs="Arial"/>
          <w:sz w:val="22"/>
          <w:szCs w:val="22"/>
        </w:rPr>
        <w:t xml:space="preserve">allgemeine </w:t>
      </w:r>
      <w:r>
        <w:rPr>
          <w:rFonts w:ascii="Arial" w:hAnsi="Arial" w:cs="Arial"/>
          <w:sz w:val="22"/>
          <w:szCs w:val="22"/>
        </w:rPr>
        <w:t>Vorprüfung zur Feststellung der UVP-Pflicht gemäß § </w:t>
      </w:r>
      <w:r w:rsidR="00991BBE">
        <w:rPr>
          <w:rFonts w:ascii="Arial" w:hAnsi="Arial" w:cs="Arial"/>
          <w:sz w:val="22"/>
          <w:szCs w:val="22"/>
        </w:rPr>
        <w:t xml:space="preserve">7 Abs. </w:t>
      </w:r>
      <w:r w:rsidR="00A6458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 UVPG für das Vorhaben</w:t>
      </w:r>
      <w:r w:rsidR="00B05B29">
        <w:rPr>
          <w:rFonts w:ascii="Arial" w:hAnsi="Arial" w:cs="Arial"/>
          <w:sz w:val="22"/>
          <w:szCs w:val="22"/>
        </w:rPr>
        <w:t>.</w:t>
      </w:r>
    </w:p>
    <w:p w14:paraId="260A06B4" w14:textId="77777777" w:rsidR="00CF78FC" w:rsidRDefault="00CF78FC" w:rsidP="00CF78FC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9AFEEA5" w14:textId="1D6FF19C" w:rsidR="00CF78FC" w:rsidRDefault="00CF78FC" w:rsidP="00CF78FC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Erweiterung des Sol</w:t>
      </w:r>
      <w:r w:rsidR="00991BBE">
        <w:rPr>
          <w:rFonts w:ascii="Arial" w:hAnsi="Arial" w:cs="Arial"/>
          <w:b/>
          <w:sz w:val="22"/>
          <w:szCs w:val="22"/>
        </w:rPr>
        <w:t>- und Speicher</w:t>
      </w:r>
      <w:r>
        <w:rPr>
          <w:rFonts w:ascii="Arial" w:hAnsi="Arial" w:cs="Arial"/>
          <w:b/>
          <w:sz w:val="22"/>
          <w:szCs w:val="22"/>
        </w:rPr>
        <w:t xml:space="preserve">feldes </w:t>
      </w:r>
      <w:proofErr w:type="spellStart"/>
      <w:r w:rsidR="00991BBE">
        <w:rPr>
          <w:rFonts w:ascii="Arial" w:hAnsi="Arial" w:cs="Arial"/>
          <w:b/>
          <w:sz w:val="22"/>
          <w:szCs w:val="22"/>
        </w:rPr>
        <w:t>Teutschenthal</w:t>
      </w:r>
      <w:proofErr w:type="spellEnd"/>
      <w:r w:rsidR="00991BBE">
        <w:rPr>
          <w:rFonts w:ascii="Arial" w:hAnsi="Arial" w:cs="Arial"/>
          <w:b/>
          <w:sz w:val="22"/>
          <w:szCs w:val="22"/>
        </w:rPr>
        <w:t xml:space="preserve"> durch </w:t>
      </w:r>
      <w:r w:rsidR="00A6458A">
        <w:rPr>
          <w:rFonts w:ascii="Arial" w:hAnsi="Arial" w:cs="Arial"/>
          <w:b/>
          <w:sz w:val="22"/>
          <w:szCs w:val="22"/>
        </w:rPr>
        <w:t xml:space="preserve">die Neubohrung </w:t>
      </w:r>
      <w:proofErr w:type="spellStart"/>
      <w:r w:rsidR="00A6458A">
        <w:rPr>
          <w:rFonts w:ascii="Arial" w:hAnsi="Arial" w:cs="Arial"/>
          <w:b/>
          <w:sz w:val="22"/>
          <w:szCs w:val="22"/>
        </w:rPr>
        <w:t>Lt</w:t>
      </w:r>
      <w:proofErr w:type="spellEnd"/>
      <w:r w:rsidR="00A6458A">
        <w:rPr>
          <w:rFonts w:ascii="Arial" w:hAnsi="Arial" w:cs="Arial"/>
          <w:b/>
          <w:sz w:val="22"/>
          <w:szCs w:val="22"/>
        </w:rPr>
        <w:t xml:space="preserve"> 65 </w:t>
      </w:r>
      <w:r w:rsidR="00991BBE">
        <w:rPr>
          <w:rFonts w:ascii="Arial" w:hAnsi="Arial" w:cs="Arial"/>
          <w:b/>
          <w:sz w:val="22"/>
          <w:szCs w:val="22"/>
        </w:rPr>
        <w:t>und Einbindung in das vorhanden</w:t>
      </w:r>
      <w:r w:rsidR="00D978FF">
        <w:rPr>
          <w:rFonts w:ascii="Arial" w:hAnsi="Arial" w:cs="Arial"/>
          <w:b/>
          <w:sz w:val="22"/>
          <w:szCs w:val="22"/>
        </w:rPr>
        <w:t>e</w:t>
      </w:r>
      <w:r w:rsidR="00991BBE">
        <w:rPr>
          <w:rFonts w:ascii="Arial" w:hAnsi="Arial" w:cs="Arial"/>
          <w:b/>
          <w:sz w:val="22"/>
          <w:szCs w:val="22"/>
        </w:rPr>
        <w:t xml:space="preserve"> Leitungssystem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D63262E" w14:textId="77777777" w:rsidR="00CF78FC" w:rsidRDefault="00CF78FC" w:rsidP="00CF78FC">
      <w:pPr>
        <w:spacing w:line="300" w:lineRule="auto"/>
        <w:jc w:val="both"/>
        <w:rPr>
          <w:rFonts w:ascii="Arial" w:hAnsi="Arial"/>
          <w:sz w:val="22"/>
        </w:rPr>
      </w:pPr>
    </w:p>
    <w:p w14:paraId="30C2858A" w14:textId="0E155811" w:rsidR="00D978FF" w:rsidRDefault="00D978FF" w:rsidP="00D978FF">
      <w:pPr>
        <w:pStyle w:val="Brieftext"/>
      </w:pPr>
      <w:r w:rsidRPr="00C76294">
        <w:t>Die Dow beabsichtig</w:t>
      </w:r>
      <w:r>
        <w:t>t</w:t>
      </w:r>
      <w:r w:rsidRPr="00C76294">
        <w:t>,</w:t>
      </w:r>
      <w:r>
        <w:t xml:space="preserve"> am Standort </w:t>
      </w:r>
      <w:proofErr w:type="spellStart"/>
      <w:r>
        <w:t>Teutschenthal</w:t>
      </w:r>
      <w:proofErr w:type="spellEnd"/>
      <w:r>
        <w:t xml:space="preserve"> die Produktion durch das Abteufen von </w:t>
      </w:r>
      <w:r w:rsidR="00A6458A">
        <w:t>einer</w:t>
      </w:r>
      <w:r>
        <w:t xml:space="preserve"> neuen Tiefbohrung zur späteren Solegewinnung nachhaltig zu sichern. Zu diesem Zweck </w:t>
      </w:r>
      <w:r w:rsidR="00A6458A">
        <w:t xml:space="preserve">ist ein </w:t>
      </w:r>
      <w:r>
        <w:t>Bohrpl</w:t>
      </w:r>
      <w:r w:rsidR="00A6458A">
        <w:t>atz</w:t>
      </w:r>
      <w:r>
        <w:t xml:space="preserve"> (</w:t>
      </w:r>
      <w:proofErr w:type="spellStart"/>
      <w:r>
        <w:t>Lt</w:t>
      </w:r>
      <w:proofErr w:type="spellEnd"/>
      <w:r>
        <w:t xml:space="preserve"> 6</w:t>
      </w:r>
      <w:r w:rsidR="00A6458A">
        <w:t>5</w:t>
      </w:r>
      <w:r>
        <w:t>) mit Zufahrt zu errichten, die Bohrung abzuteufen, zu komplettieren, in das vorhandene Solsystem einzubinden und in den Solbetrieb zu überführen.</w:t>
      </w:r>
    </w:p>
    <w:p w14:paraId="3189DA8C" w14:textId="25DEDE81" w:rsidR="00D978FF" w:rsidRDefault="00D978FF" w:rsidP="00D978FF">
      <w:pPr>
        <w:pStyle w:val="Brieftext"/>
      </w:pPr>
      <w:r>
        <w:t>Die Dow hat in ihrem Sol- und Speicherfeld zurzeit drei Speicherkavernen (Lt 6, Lt 7, Lt 60) und zwei Solkavernen (</w:t>
      </w:r>
      <w:proofErr w:type="spellStart"/>
      <w:r>
        <w:t>Lt</w:t>
      </w:r>
      <w:proofErr w:type="spellEnd"/>
      <w:r>
        <w:t xml:space="preserve"> 5, </w:t>
      </w:r>
      <w:proofErr w:type="spellStart"/>
      <w:r>
        <w:t>Lt</w:t>
      </w:r>
      <w:proofErr w:type="spellEnd"/>
      <w:r>
        <w:t xml:space="preserve"> 61</w:t>
      </w:r>
      <w:r w:rsidR="00A6458A">
        <w:t xml:space="preserve">, </w:t>
      </w:r>
      <w:proofErr w:type="spellStart"/>
      <w:r w:rsidR="00A6458A">
        <w:t>Lt</w:t>
      </w:r>
      <w:proofErr w:type="spellEnd"/>
      <w:r w:rsidR="00A6458A">
        <w:t xml:space="preserve"> 63, </w:t>
      </w:r>
      <w:proofErr w:type="spellStart"/>
      <w:r w:rsidR="00A6458A">
        <w:t>Lt</w:t>
      </w:r>
      <w:proofErr w:type="spellEnd"/>
      <w:r w:rsidR="00A6458A">
        <w:t xml:space="preserve"> 64</w:t>
      </w:r>
      <w:r>
        <w:t xml:space="preserve">) in Betrieb. Sie gewinnt im Aussolverfahren über Tiefbohrungen Sole aus den Salzformationen des </w:t>
      </w:r>
      <w:proofErr w:type="spellStart"/>
      <w:r>
        <w:t>Teutschenthaler</w:t>
      </w:r>
      <w:proofErr w:type="spellEnd"/>
      <w:r>
        <w:t xml:space="preserve"> Sattels, die durch unterirdische Rohrleitungen von der zentralen Pumpstation in </w:t>
      </w:r>
      <w:proofErr w:type="spellStart"/>
      <w:r>
        <w:t>Teutschenthal</w:t>
      </w:r>
      <w:proofErr w:type="spellEnd"/>
      <w:r>
        <w:t xml:space="preserve"> bis zur weiterverarbeitenden Chlor-Elektrolyseanlage in Schkopau gefördert wird.</w:t>
      </w:r>
    </w:p>
    <w:p w14:paraId="20E5B93A" w14:textId="45AF2D21" w:rsidR="00A6458A" w:rsidRPr="00A6458A" w:rsidRDefault="00A6458A" w:rsidP="00A6458A">
      <w:pPr>
        <w:spacing w:before="120" w:after="120" w:line="300" w:lineRule="auto"/>
        <w:ind w:left="23" w:right="11"/>
        <w:jc w:val="both"/>
        <w:rPr>
          <w:rFonts w:ascii="Arial" w:hAnsi="Arial" w:cs="Arial"/>
          <w:sz w:val="22"/>
          <w:szCs w:val="22"/>
        </w:rPr>
      </w:pPr>
      <w:r w:rsidRPr="00A6458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as Vorhaben</w:t>
      </w:r>
      <w:r w:rsidRPr="00A6458A">
        <w:rPr>
          <w:rFonts w:ascii="Arial" w:hAnsi="Arial" w:cs="Arial"/>
          <w:sz w:val="22"/>
          <w:szCs w:val="22"/>
        </w:rPr>
        <w:t xml:space="preserve"> umfasst den Abzweig der Solbetriebsleitungen von der Trasse zur </w:t>
      </w:r>
      <w:proofErr w:type="spellStart"/>
      <w:r w:rsidRPr="00A6458A">
        <w:rPr>
          <w:rFonts w:ascii="Arial" w:hAnsi="Arial" w:cs="Arial"/>
          <w:sz w:val="22"/>
          <w:szCs w:val="22"/>
        </w:rPr>
        <w:t>Lt</w:t>
      </w:r>
      <w:proofErr w:type="spellEnd"/>
      <w:r w:rsidRPr="00A6458A">
        <w:rPr>
          <w:rFonts w:ascii="Arial" w:hAnsi="Arial" w:cs="Arial"/>
          <w:sz w:val="22"/>
          <w:szCs w:val="22"/>
        </w:rPr>
        <w:t xml:space="preserve"> 61 bis zum Standort der neuen Kaverne </w:t>
      </w:r>
      <w:proofErr w:type="spellStart"/>
      <w:r w:rsidRPr="00A6458A">
        <w:rPr>
          <w:rFonts w:ascii="Arial" w:hAnsi="Arial" w:cs="Arial"/>
          <w:sz w:val="22"/>
          <w:szCs w:val="22"/>
        </w:rPr>
        <w:t>Lt</w:t>
      </w:r>
      <w:proofErr w:type="spellEnd"/>
      <w:r w:rsidRPr="00A6458A">
        <w:rPr>
          <w:rFonts w:ascii="Arial" w:hAnsi="Arial" w:cs="Arial"/>
          <w:sz w:val="22"/>
          <w:szCs w:val="22"/>
        </w:rPr>
        <w:t xml:space="preserve"> 65.</w:t>
      </w:r>
    </w:p>
    <w:p w14:paraId="720ABC46" w14:textId="456CF9BE" w:rsidR="00A6458A" w:rsidRDefault="00A6458A" w:rsidP="00A6458A">
      <w:pPr>
        <w:pStyle w:val="Brieftext"/>
        <w:rPr>
          <w:rFonts w:cs="Arial"/>
          <w:szCs w:val="22"/>
        </w:rPr>
      </w:pPr>
      <w:r w:rsidRPr="00A6458A">
        <w:rPr>
          <w:rFonts w:cs="Arial"/>
          <w:szCs w:val="22"/>
        </w:rPr>
        <w:t xml:space="preserve">Die Planung umfasst ferner den Anschluss zusätzlicher Solbetriebsleitungen (Redundanz) an die Solbetriebsleitungstrasse zwischen OTA DOW und </w:t>
      </w:r>
      <w:proofErr w:type="spellStart"/>
      <w:r w:rsidRPr="00A6458A">
        <w:rPr>
          <w:rFonts w:cs="Arial"/>
          <w:szCs w:val="22"/>
        </w:rPr>
        <w:t>Lt</w:t>
      </w:r>
      <w:proofErr w:type="spellEnd"/>
      <w:r w:rsidRPr="00A6458A">
        <w:rPr>
          <w:rFonts w:cs="Arial"/>
          <w:szCs w:val="22"/>
        </w:rPr>
        <w:t xml:space="preserve"> 09/10 sowie deren Verlegung bis zum Standort der neuen Kaverne </w:t>
      </w:r>
      <w:proofErr w:type="spellStart"/>
      <w:r w:rsidRPr="00A6458A">
        <w:rPr>
          <w:rFonts w:cs="Arial"/>
          <w:szCs w:val="22"/>
        </w:rPr>
        <w:t>Lt</w:t>
      </w:r>
      <w:proofErr w:type="spellEnd"/>
      <w:r w:rsidRPr="00A6458A">
        <w:rPr>
          <w:rFonts w:cs="Arial"/>
          <w:szCs w:val="22"/>
        </w:rPr>
        <w:t xml:space="preserve"> 65.</w:t>
      </w:r>
    </w:p>
    <w:p w14:paraId="00B5D009" w14:textId="3EF26107" w:rsidR="00A6458A" w:rsidRDefault="00A6458A" w:rsidP="00A6458A">
      <w:pPr>
        <w:pStyle w:val="Brieftext"/>
      </w:pPr>
      <w:r>
        <w:t>Das geplante Vorhaben bezieht sich auf die Tiefenbohrung über 1.000 m mit einer dauerhaften Flächeninanspruchnahmen und Nutzung natürlicher Ressourcen von 3.100 m</w:t>
      </w:r>
      <w:r>
        <w:rPr>
          <w:vertAlign w:val="superscript"/>
        </w:rPr>
        <w:t xml:space="preserve">2 </w:t>
      </w:r>
      <w:r>
        <w:rPr>
          <w:noProof/>
        </w:rPr>
        <w:drawing>
          <wp:inline distT="0" distB="0" distL="0" distR="0" wp14:anchorId="7BFAB879" wp14:editId="5C83FC7B">
            <wp:extent cx="18288" cy="21342"/>
            <wp:effectExtent l="0" t="0" r="0" b="0"/>
            <wp:docPr id="93864" name="Picture 9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4" name="Picture 938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>
        <w:t>Ebenfalls wird für die Durchführung der Bohrung, die temporäre Nutzung von ca. 13.800 m</w:t>
      </w:r>
      <w:r>
        <w:rPr>
          <w:vertAlign w:val="superscript"/>
        </w:rPr>
        <w:t xml:space="preserve">2 </w:t>
      </w:r>
      <w:r>
        <w:t>natürlicher Ressourcen sowie der temporäre Einsatz einer Bohreinrichtung erforderlich. Durch das Verlegen der unter 2.000 m langen neuen Soleleitungen werden zudem weitere Flächen temporär beansprucht.</w:t>
      </w:r>
    </w:p>
    <w:p w14:paraId="3E3CA0FF" w14:textId="6E661A83" w:rsidR="006C31C2" w:rsidRPr="006C31C2" w:rsidRDefault="006C31C2" w:rsidP="006C31C2">
      <w:pPr>
        <w:spacing w:before="120" w:after="120" w:line="300" w:lineRule="auto"/>
        <w:ind w:left="23" w:right="14"/>
        <w:jc w:val="both"/>
        <w:rPr>
          <w:rFonts w:ascii="Arial" w:hAnsi="Arial" w:cs="Arial"/>
          <w:sz w:val="22"/>
          <w:szCs w:val="22"/>
        </w:rPr>
      </w:pPr>
      <w:r w:rsidRPr="006C31C2">
        <w:rPr>
          <w:rFonts w:ascii="Arial" w:hAnsi="Arial" w:cs="Arial"/>
          <w:sz w:val="22"/>
          <w:szCs w:val="22"/>
        </w:rPr>
        <w:t>Geplant sind 1,8 km Solleitung erforderlich, dass sind zwar weniger als 2 km, doch sind gemäß §§ 9 ff. UVPG die Bestandsleitungen in die Betrachtung mit einzubeziehen, so dass wiederum Soleleitungen von mehr als 2 km Länge aber weniger als 25 km Länge außerhalb des Betriebsgeländes verlaufen, woraus sich für das Vorhaben die Pflicht zur Durchführung einer standortbezogenen Vorprüfung gemäß § 7 Abs. 2 UVPG ergibt.</w:t>
      </w:r>
    </w:p>
    <w:p w14:paraId="36F9234A" w14:textId="77777777" w:rsidR="006C31C2" w:rsidRPr="006C31C2" w:rsidRDefault="006C31C2" w:rsidP="006C31C2">
      <w:pPr>
        <w:spacing w:before="120" w:after="120" w:line="300" w:lineRule="auto"/>
        <w:ind w:left="23" w:right="14"/>
        <w:jc w:val="both"/>
        <w:rPr>
          <w:rFonts w:ascii="Arial" w:hAnsi="Arial" w:cs="Arial"/>
          <w:sz w:val="22"/>
          <w:szCs w:val="22"/>
        </w:rPr>
      </w:pPr>
      <w:r w:rsidRPr="006C31C2">
        <w:rPr>
          <w:rFonts w:ascii="Arial" w:hAnsi="Arial" w:cs="Arial"/>
          <w:sz w:val="22"/>
          <w:szCs w:val="22"/>
        </w:rPr>
        <w:t xml:space="preserve">Ebenso ist gemäß UVP-V Bergbau § 1 Ziffer 10 (nicht von den Nummern 1 bis 9 erfasste Tiefbohrungen ab 1 000 Metern Teufe) Buchstabe a) zur Gewinnung von Bodenschätzen eine allgemeine Vorprüfung nach § 7 Abs. 1 UVPG erforderlich, da die Salzformation, aus der im </w:t>
      </w:r>
      <w:proofErr w:type="spellStart"/>
      <w:r w:rsidRPr="006C31C2">
        <w:rPr>
          <w:rFonts w:ascii="Arial" w:hAnsi="Arial" w:cs="Arial"/>
          <w:sz w:val="22"/>
          <w:szCs w:val="22"/>
        </w:rPr>
        <w:t>Aussolungsverfahren</w:t>
      </w:r>
      <w:proofErr w:type="spellEnd"/>
      <w:r w:rsidRPr="006C31C2">
        <w:rPr>
          <w:rFonts w:ascii="Arial" w:hAnsi="Arial" w:cs="Arial"/>
          <w:sz w:val="22"/>
          <w:szCs w:val="22"/>
        </w:rPr>
        <w:t xml:space="preserve"> Sole gewonnen werden soll, bis ca. 1.100 m Tiefe erbohrt wird.</w:t>
      </w:r>
    </w:p>
    <w:p w14:paraId="738130DE" w14:textId="77777777" w:rsidR="006C31C2" w:rsidRPr="00A6458A" w:rsidRDefault="006C31C2" w:rsidP="00A6458A">
      <w:pPr>
        <w:pStyle w:val="Brieftext"/>
        <w:rPr>
          <w:rFonts w:cs="Arial"/>
          <w:szCs w:val="22"/>
        </w:rPr>
      </w:pPr>
    </w:p>
    <w:p w14:paraId="7D5CCBDB" w14:textId="75127D67" w:rsidR="006C31C2" w:rsidRDefault="00202580" w:rsidP="00202580">
      <w:pPr>
        <w:pStyle w:val="Vermerk"/>
        <w:spacing w:after="120"/>
      </w:pPr>
      <w:r w:rsidRPr="007F6EE7">
        <w:t xml:space="preserve">Die </w:t>
      </w:r>
      <w:r w:rsidR="006C31C2">
        <w:t>allgemeine</w:t>
      </w:r>
      <w:r w:rsidRPr="007F6EE7">
        <w:t xml:space="preserve"> Vorprüfung wird als überschlägige Prüfung </w:t>
      </w:r>
      <w:r w:rsidR="006C31C2">
        <w:t xml:space="preserve">unter Berücksichtigung der in </w:t>
      </w:r>
      <w:bookmarkStart w:id="0" w:name="_GoBack"/>
      <w:bookmarkEnd w:id="0"/>
      <w:r w:rsidR="006C31C2">
        <w:t xml:space="preserve">Anlage 3 zum UVPG genannten Kriterien </w:t>
      </w:r>
      <w:r w:rsidRPr="007F6EE7">
        <w:t xml:space="preserve">durchgeführt. </w:t>
      </w:r>
    </w:p>
    <w:p w14:paraId="322A1363" w14:textId="77777777" w:rsidR="00A20F3A" w:rsidRPr="00A20F3A" w:rsidRDefault="00A20F3A" w:rsidP="00A20F3A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20F3A">
        <w:rPr>
          <w:rFonts w:ascii="Arial" w:hAnsi="Arial" w:cs="Arial"/>
          <w:sz w:val="22"/>
          <w:szCs w:val="22"/>
        </w:rPr>
        <w:t xml:space="preserve">Im Ergebnis dieser allgemeinen Vorprüfung nach § 11 Abs. 3 Nr. 2 UVPG wurde festgestellt, dass für die entsprechend den vorgelegten Unterlagen beabsichtigte Planänderung eine UVP-Pflicht nicht besteht und eine Umweltverträglichkeitsprüfung nicht erforderlich ist. </w:t>
      </w:r>
    </w:p>
    <w:p w14:paraId="13368606" w14:textId="3D180153" w:rsidR="00A20F3A" w:rsidRPr="00A20F3A" w:rsidRDefault="00A20F3A" w:rsidP="00A20F3A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20F3A">
        <w:rPr>
          <w:rFonts w:ascii="Arial" w:hAnsi="Arial" w:cs="Arial"/>
          <w:sz w:val="22"/>
          <w:szCs w:val="22"/>
        </w:rPr>
        <w:t xml:space="preserve">Es bedarf somit keines bergrechtlichen Planfeststellungsverfahrens nach § 52 Abs. 2a BBergG  i. V. m. §§ 57a und 57b BBergG für die Zulassung. </w:t>
      </w:r>
    </w:p>
    <w:p w14:paraId="6F289262" w14:textId="77777777" w:rsidR="00202580" w:rsidRDefault="00202580" w:rsidP="00202580">
      <w:pPr>
        <w:pStyle w:val="Brieftext"/>
        <w:spacing w:before="120"/>
      </w:pPr>
      <w:r w:rsidRPr="0069555C">
        <w:t>Diese Feststellung ist gemäß § 5 Abs. 3 UVPG nicht selbständig anfechtbar</w:t>
      </w:r>
      <w:r>
        <w:t>.</w:t>
      </w:r>
    </w:p>
    <w:p w14:paraId="3764AB5A" w14:textId="51B7594C" w:rsidR="00CF78FC" w:rsidRDefault="00CF78FC" w:rsidP="00CC67FE">
      <w:pPr>
        <w:spacing w:before="120" w:line="30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Die Unterlagen, die dieser Feststellung zugrunde liegen, können im LAGB, Dezernat 33 – Besondere Verfahrensarten, </w:t>
      </w:r>
      <w:r w:rsidR="00A20F3A">
        <w:rPr>
          <w:rFonts w:ascii="Arial" w:hAnsi="Arial" w:cs="Arial"/>
          <w:sz w:val="22"/>
          <w:szCs w:val="22"/>
        </w:rPr>
        <w:t>An der Fliederwegkaserne 13</w:t>
      </w:r>
      <w:r>
        <w:rPr>
          <w:rFonts w:ascii="Arial" w:hAnsi="Arial" w:cs="Arial"/>
          <w:sz w:val="22"/>
          <w:szCs w:val="22"/>
        </w:rPr>
        <w:t xml:space="preserve"> in 061</w:t>
      </w:r>
      <w:r w:rsidR="00A20F3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 Halle (Saale) als der zuständigen Genehmigungsbehörde eingesehen werden.</w:t>
      </w:r>
    </w:p>
    <w:p w14:paraId="5BBE6104" w14:textId="77777777" w:rsidR="00496CB1" w:rsidRDefault="00496CB1">
      <w:pPr>
        <w:rPr>
          <w:rFonts w:ascii="Arial" w:hAnsi="Arial" w:cs="Arial"/>
          <w:sz w:val="22"/>
        </w:rPr>
      </w:pPr>
    </w:p>
    <w:sectPr w:rsidR="00496C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01166"/>
    <w:multiLevelType w:val="hybridMultilevel"/>
    <w:tmpl w:val="B2B8C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2A"/>
    <w:rsid w:val="0009292A"/>
    <w:rsid w:val="00202580"/>
    <w:rsid w:val="00496CB1"/>
    <w:rsid w:val="006C31C2"/>
    <w:rsid w:val="0083292B"/>
    <w:rsid w:val="00991BBE"/>
    <w:rsid w:val="00A20F3A"/>
    <w:rsid w:val="00A6458A"/>
    <w:rsid w:val="00B05B29"/>
    <w:rsid w:val="00CC67FE"/>
    <w:rsid w:val="00CF78FC"/>
    <w:rsid w:val="00D978FF"/>
    <w:rsid w:val="00E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6104"/>
  <w15:docId w15:val="{3DA0AFC0-FD50-40FD-9E7C-7A0F43E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  <w:rsid w:val="00CF78FC"/>
    <w:pPr>
      <w:widowControl w:val="0"/>
      <w:spacing w:line="300" w:lineRule="auto"/>
      <w:jc w:val="both"/>
    </w:pPr>
    <w:rPr>
      <w:rFonts w:ascii="Arial" w:hAnsi="Arial"/>
      <w:sz w:val="22"/>
    </w:rPr>
  </w:style>
  <w:style w:type="paragraph" w:customStyle="1" w:styleId="Brieftext">
    <w:name w:val="Brieftext"/>
    <w:basedOn w:val="Standard"/>
    <w:rsid w:val="00D978FF"/>
    <w:pPr>
      <w:widowControl w:val="0"/>
      <w:spacing w:line="300" w:lineRule="auto"/>
      <w:jc w:val="both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A6458A"/>
    <w:pPr>
      <w:tabs>
        <w:tab w:val="center" w:pos="4536"/>
        <w:tab w:val="right" w:pos="9072"/>
      </w:tabs>
      <w:spacing w:line="360" w:lineRule="auto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6458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LAGB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Wesenberg, Ralf</cp:lastModifiedBy>
  <cp:revision>4</cp:revision>
  <cp:lastPrinted>2018-08-29T11:51:00Z</cp:lastPrinted>
  <dcterms:created xsi:type="dcterms:W3CDTF">2015-11-06T09:39:00Z</dcterms:created>
  <dcterms:modified xsi:type="dcterms:W3CDTF">2023-01-19T09:01:00Z</dcterms:modified>
</cp:coreProperties>
</file>