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A0FC" w14:textId="77777777" w:rsidR="00042305" w:rsidRPr="0008732D" w:rsidRDefault="002A4F71" w:rsidP="002A4F71">
      <w:pPr>
        <w:pStyle w:val="berschrift1"/>
        <w:rPr>
          <w:rFonts w:asciiTheme="minorHAnsi" w:hAnsiTheme="minorHAnsi" w:cstheme="minorHAnsi"/>
          <w:sz w:val="24"/>
          <w:szCs w:val="24"/>
        </w:rPr>
      </w:pPr>
      <w:r w:rsidRPr="0008732D">
        <w:rPr>
          <w:rFonts w:asciiTheme="minorHAnsi" w:hAnsiTheme="minorHAnsi" w:cstheme="minorHAnsi"/>
          <w:sz w:val="24"/>
          <w:szCs w:val="24"/>
        </w:rPr>
        <w:t>Öffentliche Bekanntmachung</w:t>
      </w:r>
    </w:p>
    <w:p w14:paraId="2FF9D750" w14:textId="77777777" w:rsidR="00042305" w:rsidRPr="0008732D" w:rsidRDefault="00042305" w:rsidP="002A4F71">
      <w:pPr>
        <w:jc w:val="both"/>
        <w:rPr>
          <w:rFonts w:asciiTheme="minorHAnsi" w:hAnsiTheme="minorHAnsi" w:cstheme="minorHAnsi"/>
          <w:b/>
          <w:sz w:val="24"/>
          <w:szCs w:val="24"/>
        </w:rPr>
      </w:pPr>
    </w:p>
    <w:p w14:paraId="1EC5E3E4" w14:textId="05432525" w:rsidR="00042305" w:rsidRPr="0008732D" w:rsidRDefault="00042305" w:rsidP="002A4F71">
      <w:pPr>
        <w:pStyle w:val="Textkrper3"/>
        <w:rPr>
          <w:rFonts w:asciiTheme="minorHAnsi" w:hAnsiTheme="minorHAnsi" w:cstheme="minorHAnsi"/>
          <w:sz w:val="24"/>
          <w:szCs w:val="24"/>
        </w:rPr>
      </w:pPr>
      <w:r w:rsidRPr="0008732D">
        <w:rPr>
          <w:rFonts w:asciiTheme="minorHAnsi" w:hAnsiTheme="minorHAnsi" w:cstheme="minorHAnsi"/>
          <w:sz w:val="24"/>
          <w:szCs w:val="24"/>
        </w:rPr>
        <w:t>des Landkr</w:t>
      </w:r>
      <w:r w:rsidR="00112CA8" w:rsidRPr="0008732D">
        <w:rPr>
          <w:rFonts w:asciiTheme="minorHAnsi" w:hAnsiTheme="minorHAnsi" w:cstheme="minorHAnsi"/>
          <w:sz w:val="24"/>
          <w:szCs w:val="24"/>
        </w:rPr>
        <w:t>eises Mansfeld-Südharz nach § 5</w:t>
      </w:r>
      <w:r w:rsidRPr="0008732D">
        <w:rPr>
          <w:rFonts w:asciiTheme="minorHAnsi" w:hAnsiTheme="minorHAnsi" w:cstheme="minorHAnsi"/>
          <w:sz w:val="24"/>
          <w:szCs w:val="24"/>
        </w:rPr>
        <w:t xml:space="preserve"> des Gesetzes über die</w:t>
      </w:r>
      <w:r w:rsidR="00CD1F52" w:rsidRPr="0008732D">
        <w:rPr>
          <w:rFonts w:asciiTheme="minorHAnsi" w:hAnsiTheme="minorHAnsi" w:cstheme="minorHAnsi"/>
          <w:sz w:val="24"/>
          <w:szCs w:val="24"/>
        </w:rPr>
        <w:t xml:space="preserve"> Umweltverträglichkeitsprüfung (</w:t>
      </w:r>
      <w:r w:rsidR="002A4F71" w:rsidRPr="0008732D">
        <w:rPr>
          <w:rFonts w:asciiTheme="minorHAnsi" w:hAnsiTheme="minorHAnsi" w:cstheme="minorHAnsi"/>
          <w:sz w:val="24"/>
          <w:szCs w:val="24"/>
        </w:rPr>
        <w:t>UVPG</w:t>
      </w:r>
      <w:r w:rsidR="00CD1F52" w:rsidRPr="0008732D">
        <w:rPr>
          <w:rFonts w:asciiTheme="minorHAnsi" w:hAnsiTheme="minorHAnsi" w:cstheme="minorHAnsi"/>
          <w:sz w:val="24"/>
          <w:szCs w:val="24"/>
        </w:rPr>
        <w:t>)</w:t>
      </w:r>
      <w:r w:rsidR="002A4F71" w:rsidRPr="0008732D">
        <w:rPr>
          <w:rFonts w:asciiTheme="minorHAnsi" w:hAnsiTheme="minorHAnsi" w:cstheme="minorHAnsi"/>
          <w:sz w:val="24"/>
          <w:szCs w:val="24"/>
        </w:rPr>
        <w:t xml:space="preserve"> </w:t>
      </w:r>
      <w:r w:rsidRPr="0008732D">
        <w:rPr>
          <w:rFonts w:asciiTheme="minorHAnsi" w:hAnsiTheme="minorHAnsi" w:cstheme="minorHAnsi"/>
          <w:sz w:val="24"/>
          <w:szCs w:val="24"/>
        </w:rPr>
        <w:t xml:space="preserve">zum Ergebnis der </w:t>
      </w:r>
      <w:r w:rsidR="00112CA8" w:rsidRPr="0008732D">
        <w:rPr>
          <w:rFonts w:asciiTheme="minorHAnsi" w:hAnsiTheme="minorHAnsi" w:cstheme="minorHAnsi"/>
          <w:sz w:val="24"/>
          <w:szCs w:val="24"/>
        </w:rPr>
        <w:t xml:space="preserve">allgemeinen </w:t>
      </w:r>
      <w:r w:rsidRPr="0008732D">
        <w:rPr>
          <w:rFonts w:asciiTheme="minorHAnsi" w:hAnsiTheme="minorHAnsi" w:cstheme="minorHAnsi"/>
          <w:sz w:val="24"/>
          <w:szCs w:val="24"/>
        </w:rPr>
        <w:t xml:space="preserve">Vorprüfung </w:t>
      </w:r>
      <w:r w:rsidR="00CD1F52" w:rsidRPr="0008732D">
        <w:rPr>
          <w:rFonts w:asciiTheme="minorHAnsi" w:hAnsiTheme="minorHAnsi" w:cstheme="minorHAnsi"/>
          <w:sz w:val="24"/>
          <w:szCs w:val="24"/>
        </w:rPr>
        <w:t>nach § 9 Abs. 1 Nr. 2 </w:t>
      </w:r>
      <w:r w:rsidR="00112CA8" w:rsidRPr="0008732D">
        <w:rPr>
          <w:rFonts w:asciiTheme="minorHAnsi" w:hAnsiTheme="minorHAnsi" w:cstheme="minorHAnsi"/>
          <w:sz w:val="24"/>
          <w:szCs w:val="24"/>
        </w:rPr>
        <w:t xml:space="preserve">UVPG </w:t>
      </w:r>
      <w:r w:rsidR="0040649A" w:rsidRPr="0008732D">
        <w:rPr>
          <w:rFonts w:asciiTheme="minorHAnsi" w:hAnsiTheme="minorHAnsi" w:cstheme="minorHAnsi"/>
          <w:sz w:val="24"/>
          <w:szCs w:val="24"/>
        </w:rPr>
        <w:t>im Rahmen d</w:t>
      </w:r>
      <w:r w:rsidRPr="0008732D">
        <w:rPr>
          <w:rFonts w:asciiTheme="minorHAnsi" w:hAnsiTheme="minorHAnsi" w:cstheme="minorHAnsi"/>
          <w:sz w:val="24"/>
          <w:szCs w:val="24"/>
        </w:rPr>
        <w:t>e</w:t>
      </w:r>
      <w:r w:rsidR="002A4F71" w:rsidRPr="0008732D">
        <w:rPr>
          <w:rFonts w:asciiTheme="minorHAnsi" w:hAnsiTheme="minorHAnsi" w:cstheme="minorHAnsi"/>
          <w:sz w:val="24"/>
          <w:szCs w:val="24"/>
        </w:rPr>
        <w:t xml:space="preserve">s </w:t>
      </w:r>
      <w:r w:rsidR="00A8290C" w:rsidRPr="0008732D">
        <w:rPr>
          <w:rFonts w:asciiTheme="minorHAnsi" w:hAnsiTheme="minorHAnsi" w:cstheme="minorHAnsi"/>
          <w:sz w:val="24"/>
          <w:szCs w:val="24"/>
        </w:rPr>
        <w:t>Vorbescheid</w:t>
      </w:r>
      <w:r w:rsidR="002A4F71" w:rsidRPr="0008732D">
        <w:rPr>
          <w:rFonts w:asciiTheme="minorHAnsi" w:hAnsiTheme="minorHAnsi" w:cstheme="minorHAnsi"/>
          <w:sz w:val="24"/>
          <w:szCs w:val="24"/>
        </w:rPr>
        <w:t>verfahrens nach § </w:t>
      </w:r>
      <w:r w:rsidR="00A8290C" w:rsidRPr="0008732D">
        <w:rPr>
          <w:rFonts w:asciiTheme="minorHAnsi" w:hAnsiTheme="minorHAnsi" w:cstheme="minorHAnsi"/>
          <w:sz w:val="24"/>
          <w:szCs w:val="24"/>
        </w:rPr>
        <w:t>9 Abs. 1a</w:t>
      </w:r>
      <w:r w:rsidRPr="0008732D">
        <w:rPr>
          <w:rFonts w:asciiTheme="minorHAnsi" w:hAnsiTheme="minorHAnsi" w:cstheme="minorHAnsi"/>
          <w:sz w:val="24"/>
          <w:szCs w:val="24"/>
        </w:rPr>
        <w:t xml:space="preserve"> des Bundes-Immissionsschutzgesetzes</w:t>
      </w:r>
      <w:r w:rsidR="00ED0D29" w:rsidRPr="0008732D">
        <w:rPr>
          <w:rFonts w:asciiTheme="minorHAnsi" w:hAnsiTheme="minorHAnsi" w:cstheme="minorHAnsi"/>
          <w:sz w:val="24"/>
          <w:szCs w:val="24"/>
        </w:rPr>
        <w:t xml:space="preserve"> (BImSchG)</w:t>
      </w:r>
      <w:r w:rsidR="006F0D9C" w:rsidRPr="0008732D">
        <w:rPr>
          <w:rFonts w:asciiTheme="minorHAnsi" w:hAnsiTheme="minorHAnsi" w:cstheme="minorHAnsi"/>
          <w:sz w:val="24"/>
          <w:szCs w:val="24"/>
        </w:rPr>
        <w:t xml:space="preserve"> </w:t>
      </w:r>
      <w:r w:rsidR="00A8290C" w:rsidRPr="0008732D">
        <w:rPr>
          <w:rFonts w:asciiTheme="minorHAnsi" w:hAnsiTheme="minorHAnsi" w:cstheme="minorHAnsi"/>
          <w:sz w:val="24"/>
          <w:szCs w:val="24"/>
        </w:rPr>
        <w:t xml:space="preserve">über einzelne Genehmigungsvoraussetzungen, hier hinsichtlich der Genehmigungsfähigkeit in Bezug auf Schall, </w:t>
      </w:r>
      <w:r w:rsidR="006F0D9C" w:rsidRPr="0008732D">
        <w:rPr>
          <w:rFonts w:asciiTheme="minorHAnsi" w:hAnsiTheme="minorHAnsi" w:cstheme="minorHAnsi"/>
          <w:sz w:val="24"/>
          <w:szCs w:val="24"/>
        </w:rPr>
        <w:t>zur Errichtung und zum Betrie</w:t>
      </w:r>
      <w:r w:rsidR="00CD1F52" w:rsidRPr="0008732D">
        <w:rPr>
          <w:rFonts w:asciiTheme="minorHAnsi" w:hAnsiTheme="minorHAnsi" w:cstheme="minorHAnsi"/>
          <w:sz w:val="24"/>
          <w:szCs w:val="24"/>
        </w:rPr>
        <w:t xml:space="preserve">b </w:t>
      </w:r>
      <w:r w:rsidR="00A8290C" w:rsidRPr="0008732D">
        <w:rPr>
          <w:rFonts w:asciiTheme="minorHAnsi" w:hAnsiTheme="minorHAnsi" w:cstheme="minorHAnsi"/>
          <w:sz w:val="24"/>
          <w:szCs w:val="24"/>
        </w:rPr>
        <w:t>von fünf</w:t>
      </w:r>
      <w:r w:rsidR="00CD1F52" w:rsidRPr="0008732D">
        <w:rPr>
          <w:rFonts w:asciiTheme="minorHAnsi" w:hAnsiTheme="minorHAnsi" w:cstheme="minorHAnsi"/>
          <w:sz w:val="24"/>
          <w:szCs w:val="24"/>
        </w:rPr>
        <w:t xml:space="preserve"> Windenergie</w:t>
      </w:r>
      <w:r w:rsidR="0040649A" w:rsidRPr="0008732D">
        <w:rPr>
          <w:rFonts w:asciiTheme="minorHAnsi" w:hAnsiTheme="minorHAnsi" w:cstheme="minorHAnsi"/>
          <w:sz w:val="24"/>
          <w:szCs w:val="24"/>
        </w:rPr>
        <w:t xml:space="preserve">anlagen der </w:t>
      </w:r>
      <w:r w:rsidR="00A8290C" w:rsidRPr="0008732D">
        <w:rPr>
          <w:rFonts w:asciiTheme="minorHAnsi" w:hAnsiTheme="minorHAnsi" w:cstheme="minorHAnsi"/>
          <w:sz w:val="24"/>
          <w:szCs w:val="24"/>
        </w:rPr>
        <w:t>eno energy</w:t>
      </w:r>
      <w:r w:rsidR="001B0579" w:rsidRPr="0008732D">
        <w:rPr>
          <w:rFonts w:asciiTheme="minorHAnsi" w:hAnsiTheme="minorHAnsi" w:cstheme="minorHAnsi"/>
          <w:sz w:val="24"/>
          <w:szCs w:val="24"/>
        </w:rPr>
        <w:t xml:space="preserve"> GmbH</w:t>
      </w:r>
      <w:r w:rsidR="002A4F71" w:rsidRPr="0008732D">
        <w:rPr>
          <w:rFonts w:asciiTheme="minorHAnsi" w:hAnsiTheme="minorHAnsi" w:cstheme="minorHAnsi"/>
          <w:sz w:val="24"/>
          <w:szCs w:val="24"/>
        </w:rPr>
        <w:t xml:space="preserve"> </w:t>
      </w:r>
      <w:r w:rsidR="0031605F">
        <w:rPr>
          <w:rFonts w:asciiTheme="minorHAnsi" w:hAnsiTheme="minorHAnsi" w:cstheme="minorHAnsi"/>
          <w:sz w:val="24"/>
          <w:szCs w:val="24"/>
        </w:rPr>
        <w:t>im Windpark Gerbstedt West</w:t>
      </w:r>
    </w:p>
    <w:p w14:paraId="13C0ACB2" w14:textId="77777777" w:rsidR="00F434EA" w:rsidRPr="0008732D" w:rsidRDefault="00F434EA">
      <w:pPr>
        <w:spacing w:line="260" w:lineRule="atLeast"/>
        <w:jc w:val="both"/>
        <w:rPr>
          <w:rFonts w:asciiTheme="minorHAnsi" w:hAnsiTheme="minorHAnsi" w:cstheme="minorHAnsi"/>
          <w:sz w:val="24"/>
          <w:szCs w:val="24"/>
        </w:rPr>
      </w:pPr>
    </w:p>
    <w:p w14:paraId="6311F75C" w14:textId="51F196A6" w:rsidR="0008732D" w:rsidRPr="0008732D" w:rsidRDefault="0008732D" w:rsidP="0008732D">
      <w:pPr>
        <w:widowControl w:val="0"/>
        <w:suppressAutoHyphens/>
        <w:jc w:val="both"/>
        <w:rPr>
          <w:rFonts w:asciiTheme="minorHAnsi" w:eastAsia="Lucida Sans Unicode" w:hAnsiTheme="minorHAnsi" w:cstheme="minorHAnsi"/>
          <w:bCs/>
          <w:kern w:val="1"/>
          <w:sz w:val="24"/>
          <w:szCs w:val="24"/>
          <w:lang w:eastAsia="en-US"/>
        </w:rPr>
      </w:pPr>
      <w:r w:rsidRPr="0008732D">
        <w:rPr>
          <w:rFonts w:asciiTheme="minorHAnsi" w:eastAsia="Lucida Sans Unicode" w:hAnsiTheme="minorHAnsi" w:cstheme="minorHAnsi"/>
          <w:bCs/>
          <w:kern w:val="1"/>
          <w:sz w:val="24"/>
          <w:szCs w:val="24"/>
          <w:lang w:eastAsia="en-US"/>
        </w:rPr>
        <w:t xml:space="preserve">Für das Vorhaben Errichtung und den Betrieb von </w:t>
      </w:r>
      <w:bookmarkStart w:id="0" w:name="_Hlk194655841"/>
      <w:r w:rsidRPr="0008732D">
        <w:rPr>
          <w:rFonts w:asciiTheme="minorHAnsi" w:eastAsia="Lucida Sans Unicode" w:hAnsiTheme="minorHAnsi" w:cstheme="minorHAnsi"/>
          <w:bCs/>
          <w:kern w:val="1"/>
          <w:sz w:val="24"/>
          <w:szCs w:val="24"/>
          <w:lang w:eastAsia="en-US"/>
        </w:rPr>
        <w:t>5 WEA des Typs eno160 (Nabenhöhe: 165 m, Rotordurchmesser: 160 m, Gesamthöhe: 245 m, Leistung: 6 MW) an den Standorten Gemarkung Gerbstedt, Flur 2, Flurstücke 5/17, 5/18 (WEA 1); 5/7 (WEA 2); 5/12 (WEA 3); 10/4 (WEA 4) und 8/11 (WEA 5)</w:t>
      </w:r>
      <w:bookmarkEnd w:id="0"/>
      <w:r w:rsidRPr="0008732D">
        <w:rPr>
          <w:rFonts w:asciiTheme="minorHAnsi" w:eastAsia="Lucida Sans Unicode" w:hAnsiTheme="minorHAnsi" w:cstheme="minorHAnsi"/>
          <w:bCs/>
          <w:kern w:val="1"/>
          <w:sz w:val="24"/>
          <w:szCs w:val="24"/>
          <w:lang w:eastAsia="en-US"/>
        </w:rPr>
        <w:t xml:space="preserve"> hat die eno energy GmbH </w:t>
      </w:r>
      <w:r>
        <w:rPr>
          <w:rFonts w:asciiTheme="minorHAnsi" w:eastAsia="Lucida Sans Unicode" w:hAnsiTheme="minorHAnsi" w:cstheme="minorHAnsi"/>
          <w:bCs/>
          <w:kern w:val="1"/>
          <w:sz w:val="24"/>
          <w:szCs w:val="24"/>
          <w:lang w:eastAsia="en-US"/>
        </w:rPr>
        <w:t xml:space="preserve">mit Datum vom 21.02.2025 (PE 21.03.2025) </w:t>
      </w:r>
      <w:r w:rsidRPr="0008732D">
        <w:rPr>
          <w:rFonts w:asciiTheme="minorHAnsi" w:eastAsia="Lucida Sans Unicode" w:hAnsiTheme="minorHAnsi" w:cstheme="minorHAnsi"/>
          <w:bCs/>
          <w:kern w:val="1"/>
          <w:sz w:val="24"/>
          <w:szCs w:val="24"/>
          <w:lang w:eastAsia="en-US"/>
        </w:rPr>
        <w:t>beim Landkreis Mansfeld-Südharz, Umweltamt, einen Antrag auf immissionsschutzrechtlichen Vorbescheid nach den §§ 9 Abs. 1a und 19 BImSchG i.V.m. § 1 der 4. BImSchV und der Nr. 1.6.2 des Anhangs 1 der 4. BImSchV gestellt.</w:t>
      </w:r>
      <w:r w:rsidR="0031605F">
        <w:rPr>
          <w:rFonts w:asciiTheme="minorHAnsi" w:eastAsia="Lucida Sans Unicode" w:hAnsiTheme="minorHAnsi" w:cstheme="minorHAnsi"/>
          <w:bCs/>
          <w:kern w:val="1"/>
          <w:sz w:val="24"/>
          <w:szCs w:val="24"/>
          <w:lang w:eastAsia="en-US"/>
        </w:rPr>
        <w:t xml:space="preserve"> </w:t>
      </w:r>
      <w:r w:rsidR="0031605F" w:rsidRPr="0031605F">
        <w:rPr>
          <w:rFonts w:asciiTheme="minorHAnsi" w:eastAsia="Lucida Sans Unicode" w:hAnsiTheme="minorHAnsi" w:cstheme="minorHAnsi"/>
          <w:bCs/>
          <w:kern w:val="1"/>
          <w:sz w:val="24"/>
          <w:szCs w:val="24"/>
        </w:rPr>
        <w:t xml:space="preserve">Gegenstand des Antrages auf Vorbescheid ist </w:t>
      </w:r>
      <w:bookmarkStart w:id="1" w:name="_Hlk194655932"/>
      <w:r w:rsidR="0031605F" w:rsidRPr="0031605F">
        <w:rPr>
          <w:rFonts w:asciiTheme="minorHAnsi" w:eastAsia="Lucida Sans Unicode" w:hAnsiTheme="minorHAnsi" w:cstheme="minorHAnsi"/>
          <w:bCs/>
          <w:kern w:val="1"/>
          <w:sz w:val="24"/>
          <w:szCs w:val="24"/>
        </w:rPr>
        <w:t>die Prüfung der Einhaltung der Anforderungen des Immissionsschutzrechtes in Bezug auf Geräusche</w:t>
      </w:r>
      <w:bookmarkEnd w:id="1"/>
      <w:r w:rsidR="0031605F" w:rsidRPr="0031605F">
        <w:rPr>
          <w:rFonts w:asciiTheme="minorHAnsi" w:eastAsia="Lucida Sans Unicode" w:hAnsiTheme="minorHAnsi" w:cstheme="minorHAnsi"/>
          <w:bCs/>
          <w:kern w:val="1"/>
          <w:sz w:val="24"/>
          <w:szCs w:val="24"/>
        </w:rPr>
        <w:t>.</w:t>
      </w:r>
    </w:p>
    <w:p w14:paraId="65256B49" w14:textId="520F5273" w:rsidR="00A25A81" w:rsidRPr="0008732D" w:rsidRDefault="00A25A81" w:rsidP="0008732D">
      <w:pPr>
        <w:spacing w:line="260" w:lineRule="atLeast"/>
        <w:jc w:val="both"/>
        <w:rPr>
          <w:rFonts w:asciiTheme="minorHAnsi" w:hAnsiTheme="minorHAnsi" w:cstheme="minorHAnsi"/>
          <w:sz w:val="24"/>
          <w:szCs w:val="24"/>
        </w:rPr>
      </w:pPr>
    </w:p>
    <w:p w14:paraId="14AA675B" w14:textId="1F1DDD49" w:rsidR="0008732D" w:rsidRPr="0008732D" w:rsidRDefault="0008732D" w:rsidP="0008732D">
      <w:pPr>
        <w:widowControl w:val="0"/>
        <w:suppressAutoHyphens/>
        <w:jc w:val="both"/>
        <w:rPr>
          <w:rFonts w:asciiTheme="minorHAnsi" w:eastAsia="Lucida Sans Unicode" w:hAnsiTheme="minorHAnsi" w:cstheme="minorHAnsi"/>
          <w:bCs/>
          <w:color w:val="FF0000"/>
          <w:kern w:val="1"/>
          <w:sz w:val="24"/>
          <w:szCs w:val="24"/>
        </w:rPr>
      </w:pPr>
      <w:r w:rsidRPr="0008732D">
        <w:rPr>
          <w:rFonts w:asciiTheme="minorHAnsi" w:hAnsiTheme="minorHAnsi" w:cstheme="minorHAnsi"/>
          <w:sz w:val="24"/>
          <w:szCs w:val="24"/>
        </w:rPr>
        <w:t xml:space="preserve">Für das Vorhaben am beantragten Standort findet § 6 WindBG </w:t>
      </w:r>
      <w:r w:rsidR="0031605F" w:rsidRPr="0031605F">
        <w:rPr>
          <w:rFonts w:asciiTheme="minorHAnsi" w:hAnsiTheme="minorHAnsi" w:cstheme="minorHAnsi"/>
          <w:sz w:val="24"/>
          <w:szCs w:val="24"/>
        </w:rPr>
        <w:t>(</w:t>
      </w:r>
      <w:r w:rsidR="0031605F" w:rsidRPr="0031605F">
        <w:rPr>
          <w:rStyle w:val="hgkelc"/>
          <w:rFonts w:asciiTheme="minorHAnsi" w:hAnsiTheme="minorHAnsi" w:cstheme="minorHAnsi"/>
          <w:bCs/>
          <w:sz w:val="24"/>
          <w:szCs w:val="24"/>
        </w:rPr>
        <w:t>Gesetz zur Festlegung von Flächenbedarfen für Windenergieanlagen an Land</w:t>
      </w:r>
      <w:r w:rsidR="0031605F" w:rsidRPr="0031605F">
        <w:rPr>
          <w:rStyle w:val="hgkelc"/>
          <w:rFonts w:asciiTheme="minorHAnsi" w:hAnsiTheme="minorHAnsi" w:cstheme="minorHAnsi"/>
          <w:sz w:val="24"/>
          <w:szCs w:val="24"/>
        </w:rPr>
        <w:t xml:space="preserve"> (Windenergieflächenbedarfsgesetz - WindBG) vom 20.07.2022 (BGBl. I 2022 S. 1353),</w:t>
      </w:r>
      <w:r w:rsidR="0031605F" w:rsidRPr="001D2BBD">
        <w:rPr>
          <w:rStyle w:val="hgkelc"/>
          <w:sz w:val="22"/>
          <w:szCs w:val="22"/>
        </w:rPr>
        <w:t xml:space="preserve"> </w:t>
      </w:r>
      <w:r w:rsidRPr="0008732D">
        <w:rPr>
          <w:rFonts w:asciiTheme="minorHAnsi" w:hAnsiTheme="minorHAnsi" w:cstheme="minorHAnsi"/>
          <w:sz w:val="24"/>
          <w:szCs w:val="24"/>
        </w:rPr>
        <w:t>keine Anwendung, da es sich bis zum Abschluss des Vorbescheidverfahrens außerhalb eines ausgewiesenen Windenergiegebietes befindet. Somit fällt das Vorhaben in den Anwendungsbereich des UVPG, indem es mit den bestehenden Windenergieanlagen in Gerbstedt/Ihlewitz/Zabenstedt eine „Windfarm“ bildet, da sich die Einwirkbereiche überschneiden und ein Zusammenhang im funktionalen Sinne besteht. Deshalb stellen die geplanten 5 WEA die Änderung einer vorhandenen Windfarm von 32 Anlagen dar und es war eine allgemeine Vorprüfung entsprechend § 9 Abs. 1 Nr. 2 UVPG</w:t>
      </w:r>
      <w:r w:rsidRPr="0008732D">
        <w:rPr>
          <w:rFonts w:asciiTheme="minorHAnsi" w:hAnsiTheme="minorHAnsi" w:cstheme="minorHAnsi"/>
          <w:b/>
          <w:bCs/>
          <w:sz w:val="24"/>
          <w:szCs w:val="24"/>
        </w:rPr>
        <w:t xml:space="preserve"> </w:t>
      </w:r>
      <w:r w:rsidRPr="0008732D">
        <w:rPr>
          <w:rFonts w:asciiTheme="minorHAnsi" w:hAnsiTheme="minorHAnsi" w:cstheme="minorHAnsi"/>
          <w:sz w:val="24"/>
          <w:szCs w:val="24"/>
        </w:rPr>
        <w:t xml:space="preserve">zur Feststellung der UVP-Pflicht erforderlich. </w:t>
      </w:r>
      <w:r w:rsidRPr="0008732D">
        <w:rPr>
          <w:rFonts w:asciiTheme="minorHAnsi" w:eastAsia="Lucida Sans Unicode" w:hAnsiTheme="minorHAnsi" w:cstheme="minorHAnsi"/>
          <w:bCs/>
          <w:kern w:val="1"/>
          <w:sz w:val="24"/>
          <w:szCs w:val="24"/>
        </w:rPr>
        <w:t>Die allgemeine Vorprüfung wird unter Berücksichtigung der in Anlage 3 UVPG aufgeführten Kriterien durchgeführt. Die UVP-Pflicht besteht, wenn die allgemeine Vorprüfung ergibt, dass die Änderung zusätzliche erhebliche nachteilige oder andere erhebliche nachteilige Umweltauswirkungen hervorrufen kann.</w:t>
      </w:r>
    </w:p>
    <w:p w14:paraId="684BDA1C" w14:textId="77777777" w:rsidR="0008732D" w:rsidRPr="0008732D" w:rsidRDefault="0008732D" w:rsidP="0008732D">
      <w:pPr>
        <w:jc w:val="both"/>
        <w:rPr>
          <w:rFonts w:asciiTheme="minorHAnsi" w:hAnsiTheme="minorHAnsi" w:cstheme="minorHAnsi"/>
          <w:sz w:val="24"/>
          <w:szCs w:val="24"/>
        </w:rPr>
      </w:pPr>
      <w:r w:rsidRPr="0008732D">
        <w:rPr>
          <w:rFonts w:asciiTheme="minorHAnsi" w:hAnsiTheme="minorHAnsi" w:cstheme="minorHAnsi"/>
          <w:sz w:val="24"/>
          <w:szCs w:val="24"/>
        </w:rPr>
        <w:t>Die letzte Umweltverträglichkeitsprüfung wurde im Gebiet im Jahr 2018 im Rahmen des Genehmigungsverfahrens zur Errichtung und zum Betrieb von 9 WEA des Typs Vestas V126 in der Gemarkung Gerbstedt durchgeführt.</w:t>
      </w:r>
    </w:p>
    <w:p w14:paraId="40FB4C06" w14:textId="77777777" w:rsidR="0008732D" w:rsidRPr="0008732D" w:rsidRDefault="0008732D" w:rsidP="0008732D">
      <w:pPr>
        <w:widowControl w:val="0"/>
        <w:suppressAutoHyphens/>
        <w:jc w:val="both"/>
        <w:rPr>
          <w:rFonts w:asciiTheme="minorHAnsi" w:eastAsia="Lucida Sans Unicode" w:hAnsiTheme="minorHAnsi" w:cstheme="minorHAnsi"/>
          <w:kern w:val="1"/>
          <w:sz w:val="24"/>
          <w:szCs w:val="24"/>
        </w:rPr>
      </w:pPr>
      <w:r w:rsidRPr="0008732D">
        <w:rPr>
          <w:rFonts w:asciiTheme="minorHAnsi" w:eastAsia="Lucida Sans Unicode" w:hAnsiTheme="minorHAnsi" w:cstheme="minorHAnsi"/>
          <w:bCs/>
          <w:kern w:val="1"/>
          <w:sz w:val="24"/>
          <w:szCs w:val="24"/>
        </w:rPr>
        <w:t xml:space="preserve">Nach § 29 Abs. 1 Satz 1 UVPG hat sich die UVP im Falle eines Vorbescheidverfahrens vorläufig auf die nach dem jeweiligen Planungsstand erkennbaren Umweltauswirkungen des Gesamtvorhabens zu erstrecken und abschließend auf die Umweltauswirkungen, die Gegenstand der Teilzulassung sind. Für Vorbescheidverfahren gemäß § 9 Abs. 1a BImSchG entfallen nach dem dortigen Satz 2 vorläufige Prüfungen bezogen auf das Gesamtvorhaben. </w:t>
      </w:r>
      <w:r w:rsidRPr="0008732D">
        <w:rPr>
          <w:rFonts w:asciiTheme="minorHAnsi" w:eastAsia="Lucida Sans Unicode" w:hAnsiTheme="minorHAnsi" w:cstheme="minorHAnsi"/>
          <w:kern w:val="1"/>
          <w:sz w:val="24"/>
          <w:szCs w:val="24"/>
        </w:rPr>
        <w:t>Prüfungen nach dem UVPG haben sich abschließend auf die Umweltauswirkungen zu beziehen, die Gegenstand des Vorbescheides sind.</w:t>
      </w:r>
    </w:p>
    <w:p w14:paraId="388CCDC9" w14:textId="77777777" w:rsidR="0008732D" w:rsidRPr="0008732D" w:rsidRDefault="0008732D" w:rsidP="0008732D">
      <w:pPr>
        <w:widowControl w:val="0"/>
        <w:suppressAutoHyphens/>
        <w:jc w:val="both"/>
        <w:rPr>
          <w:rFonts w:asciiTheme="minorHAnsi" w:eastAsia="Lucida Sans Unicode" w:hAnsiTheme="minorHAnsi" w:cstheme="minorHAnsi"/>
          <w:bCs/>
          <w:color w:val="FF0000"/>
          <w:kern w:val="1"/>
          <w:sz w:val="24"/>
          <w:szCs w:val="24"/>
        </w:rPr>
      </w:pPr>
    </w:p>
    <w:p w14:paraId="0CBF5F94" w14:textId="77777777" w:rsidR="0008732D" w:rsidRPr="0008732D" w:rsidRDefault="0008732D" w:rsidP="0008732D">
      <w:pPr>
        <w:widowControl w:val="0"/>
        <w:suppressAutoHyphens/>
        <w:jc w:val="both"/>
        <w:rPr>
          <w:rFonts w:asciiTheme="minorHAnsi" w:eastAsia="Lucida Sans Unicode" w:hAnsiTheme="minorHAnsi" w:cstheme="minorHAnsi"/>
          <w:bCs/>
          <w:kern w:val="1"/>
          <w:sz w:val="24"/>
          <w:szCs w:val="24"/>
        </w:rPr>
      </w:pPr>
      <w:r w:rsidRPr="0008732D">
        <w:rPr>
          <w:rFonts w:asciiTheme="minorHAnsi" w:eastAsia="Lucida Sans Unicode" w:hAnsiTheme="minorHAnsi" w:cstheme="minorHAnsi"/>
          <w:bCs/>
          <w:kern w:val="1"/>
          <w:sz w:val="24"/>
          <w:szCs w:val="24"/>
        </w:rPr>
        <w:t xml:space="preserve">Im Rahmen der allgemeinen Vorprüfung des Einzelfalls nach § 9 Abs. 1 Nr. 2 UVPG im Hinblick auf den mit dem Vorbescheid beantragten Sachverhalt: Prüfung der Einhaltung der Anforderungen des Immissionsschutzrechtes in Bezug auf Geräusche, wurde festgestellt, dass durch das geplante Vorhaben keine zusätzlichen erheblichen nachteiligen oder anderen erheblichen nachteiligen Umweltauswirkungen hervorrufen werden können, so dass im </w:t>
      </w:r>
      <w:r w:rsidRPr="0008732D">
        <w:rPr>
          <w:rFonts w:asciiTheme="minorHAnsi" w:eastAsia="Lucida Sans Unicode" w:hAnsiTheme="minorHAnsi" w:cstheme="minorHAnsi"/>
          <w:bCs/>
          <w:kern w:val="1"/>
          <w:sz w:val="24"/>
          <w:szCs w:val="24"/>
        </w:rPr>
        <w:lastRenderedPageBreak/>
        <w:t>Rahmen des Vorbescheidverfahrens nach § 9 Abs. 1a BImSchG keine UVP erforderlich war.</w:t>
      </w:r>
    </w:p>
    <w:p w14:paraId="24C27627" w14:textId="77777777" w:rsidR="0008732D" w:rsidRPr="0008732D" w:rsidRDefault="0008732D" w:rsidP="0008732D">
      <w:pPr>
        <w:widowControl w:val="0"/>
        <w:suppressAutoHyphens/>
        <w:jc w:val="both"/>
        <w:rPr>
          <w:rFonts w:asciiTheme="minorHAnsi" w:eastAsia="Lucida Sans Unicode" w:hAnsiTheme="minorHAnsi" w:cstheme="minorHAnsi"/>
          <w:bCs/>
          <w:kern w:val="1"/>
          <w:sz w:val="24"/>
          <w:szCs w:val="24"/>
          <w:highlight w:val="yellow"/>
        </w:rPr>
      </w:pPr>
    </w:p>
    <w:p w14:paraId="533B7149" w14:textId="77777777" w:rsidR="0008732D" w:rsidRPr="0008732D" w:rsidRDefault="0008732D" w:rsidP="0008732D">
      <w:pPr>
        <w:widowControl w:val="0"/>
        <w:suppressAutoHyphens/>
        <w:jc w:val="both"/>
        <w:rPr>
          <w:rFonts w:asciiTheme="minorHAnsi" w:eastAsia="Lucida Sans Unicode" w:hAnsiTheme="minorHAnsi" w:cstheme="minorHAnsi"/>
          <w:bCs/>
          <w:kern w:val="1"/>
          <w:sz w:val="24"/>
          <w:szCs w:val="24"/>
        </w:rPr>
      </w:pPr>
      <w:r w:rsidRPr="0008732D">
        <w:rPr>
          <w:rFonts w:asciiTheme="minorHAnsi" w:eastAsia="Lucida Sans Unicode" w:hAnsiTheme="minorHAnsi" w:cstheme="minorHAnsi"/>
          <w:bCs/>
          <w:kern w:val="1"/>
          <w:sz w:val="24"/>
          <w:szCs w:val="24"/>
        </w:rPr>
        <w:t>Gemäß vorgelegten Schallgutachten werden beim Betrieb der 5 WEA die Vorgaben der TA Lärm eingehalten.</w:t>
      </w:r>
    </w:p>
    <w:p w14:paraId="2A75E36C" w14:textId="77777777" w:rsidR="0008732D" w:rsidRPr="0008732D" w:rsidRDefault="0008732D" w:rsidP="0008732D">
      <w:pPr>
        <w:widowControl w:val="0"/>
        <w:suppressAutoHyphens/>
        <w:jc w:val="both"/>
        <w:rPr>
          <w:rFonts w:asciiTheme="minorHAnsi" w:eastAsia="Lucida Sans Unicode" w:hAnsiTheme="minorHAnsi" w:cstheme="minorHAnsi"/>
          <w:bCs/>
          <w:kern w:val="1"/>
          <w:sz w:val="24"/>
          <w:szCs w:val="24"/>
        </w:rPr>
      </w:pPr>
    </w:p>
    <w:p w14:paraId="07A28147" w14:textId="77777777" w:rsidR="0008732D" w:rsidRPr="0008732D" w:rsidRDefault="0008732D" w:rsidP="0008732D">
      <w:pPr>
        <w:widowControl w:val="0"/>
        <w:suppressAutoHyphens/>
        <w:jc w:val="both"/>
        <w:rPr>
          <w:rFonts w:asciiTheme="minorHAnsi" w:eastAsia="Lucida Sans Unicode" w:hAnsiTheme="minorHAnsi" w:cstheme="minorHAnsi"/>
          <w:bCs/>
          <w:kern w:val="1"/>
          <w:sz w:val="24"/>
          <w:szCs w:val="24"/>
        </w:rPr>
      </w:pPr>
      <w:r w:rsidRPr="0008732D">
        <w:rPr>
          <w:rFonts w:asciiTheme="minorHAnsi" w:eastAsia="Lucida Sans Unicode" w:hAnsiTheme="minorHAnsi" w:cstheme="minorHAnsi"/>
          <w:bCs/>
          <w:kern w:val="1"/>
          <w:sz w:val="24"/>
          <w:szCs w:val="24"/>
        </w:rPr>
        <w:t>Die wesentlichen Gründe für das Nichtbestehen der UVP-Pflicht unter Hinweis auf die jeweils einschlägigen Kriterien nach Anlage 3 waren dabei:</w:t>
      </w:r>
    </w:p>
    <w:p w14:paraId="00462882" w14:textId="77777777" w:rsidR="0008732D" w:rsidRPr="0008732D" w:rsidRDefault="0008732D" w:rsidP="0008732D">
      <w:pPr>
        <w:widowControl w:val="0"/>
        <w:suppressAutoHyphens/>
        <w:jc w:val="both"/>
        <w:rPr>
          <w:rFonts w:asciiTheme="minorHAnsi" w:eastAsia="Lucida Sans Unicode" w:hAnsiTheme="minorHAnsi" w:cstheme="minorHAnsi"/>
          <w:bCs/>
          <w:kern w:val="1"/>
          <w:sz w:val="24"/>
          <w:szCs w:val="24"/>
        </w:rPr>
      </w:pPr>
    </w:p>
    <w:p w14:paraId="1E8CC10B" w14:textId="77777777" w:rsidR="0008732D" w:rsidRPr="0008732D" w:rsidRDefault="0008732D" w:rsidP="0008732D">
      <w:pPr>
        <w:numPr>
          <w:ilvl w:val="0"/>
          <w:numId w:val="7"/>
        </w:numPr>
        <w:jc w:val="both"/>
        <w:rPr>
          <w:rFonts w:asciiTheme="minorHAnsi" w:hAnsiTheme="minorHAnsi" w:cstheme="minorHAnsi"/>
          <w:sz w:val="24"/>
          <w:szCs w:val="24"/>
        </w:rPr>
      </w:pPr>
      <w:r w:rsidRPr="0008732D">
        <w:rPr>
          <w:rFonts w:asciiTheme="minorHAnsi" w:hAnsiTheme="minorHAnsi" w:cstheme="minorHAnsi"/>
          <w:sz w:val="24"/>
          <w:szCs w:val="24"/>
        </w:rPr>
        <w:t>Durch die Fahrweise der WEA 1-4 im jeweiligen schallreduzierten Betriebsmodus nachts und die Abschaltung von WEA 5 nachts sind die potentiellen Auswirkungen des Vorhabens (Auswirkungen auf den Menschen, Änderung der Lärmimmissionswerte) unerheblich.</w:t>
      </w:r>
    </w:p>
    <w:p w14:paraId="46ADCD51" w14:textId="77777777" w:rsidR="0008732D" w:rsidRDefault="0008732D">
      <w:pPr>
        <w:pStyle w:val="Textkrper2"/>
        <w:rPr>
          <w:rFonts w:asciiTheme="minorHAnsi" w:hAnsiTheme="minorHAnsi" w:cstheme="minorHAnsi"/>
        </w:rPr>
      </w:pPr>
    </w:p>
    <w:p w14:paraId="6791AC5B" w14:textId="62B4A1BD" w:rsidR="00042305" w:rsidRPr="0008732D" w:rsidRDefault="00746B7C">
      <w:pPr>
        <w:pStyle w:val="Textkrper2"/>
        <w:rPr>
          <w:rFonts w:asciiTheme="minorHAnsi" w:hAnsiTheme="minorHAnsi" w:cstheme="minorHAnsi"/>
        </w:rPr>
      </w:pPr>
      <w:r w:rsidRPr="0008732D">
        <w:rPr>
          <w:rFonts w:asciiTheme="minorHAnsi" w:hAnsiTheme="minorHAnsi" w:cstheme="minorHAnsi"/>
        </w:rPr>
        <w:t>Gemäß § </w:t>
      </w:r>
      <w:r w:rsidR="00CD1F52" w:rsidRPr="0008732D">
        <w:rPr>
          <w:rFonts w:asciiTheme="minorHAnsi" w:hAnsiTheme="minorHAnsi" w:cstheme="minorHAnsi"/>
        </w:rPr>
        <w:t>5</w:t>
      </w:r>
      <w:r w:rsidRPr="0008732D">
        <w:rPr>
          <w:rFonts w:asciiTheme="minorHAnsi" w:hAnsiTheme="minorHAnsi" w:cstheme="minorHAnsi"/>
        </w:rPr>
        <w:t> </w:t>
      </w:r>
      <w:r w:rsidR="00042305" w:rsidRPr="0008732D">
        <w:rPr>
          <w:rFonts w:asciiTheme="minorHAnsi" w:hAnsiTheme="minorHAnsi" w:cstheme="minorHAnsi"/>
        </w:rPr>
        <w:t>UVPG</w:t>
      </w:r>
      <w:r w:rsidR="00CD1F52" w:rsidRPr="0008732D">
        <w:rPr>
          <w:rFonts w:asciiTheme="minorHAnsi" w:hAnsiTheme="minorHAnsi" w:cstheme="minorHAnsi"/>
        </w:rPr>
        <w:t xml:space="preserve"> </w:t>
      </w:r>
      <w:r w:rsidR="00042305" w:rsidRPr="0008732D">
        <w:rPr>
          <w:rFonts w:asciiTheme="minorHAnsi" w:hAnsiTheme="minorHAnsi" w:cstheme="minorHAnsi"/>
        </w:rPr>
        <w:t xml:space="preserve">wird </w:t>
      </w:r>
      <w:r w:rsidR="00BF6062" w:rsidRPr="0008732D">
        <w:rPr>
          <w:rFonts w:asciiTheme="minorHAnsi" w:hAnsiTheme="minorHAnsi" w:cstheme="minorHAnsi"/>
          <w:b/>
          <w:bCs/>
        </w:rPr>
        <w:t>hiermit b</w:t>
      </w:r>
      <w:r w:rsidR="00042305" w:rsidRPr="0008732D">
        <w:rPr>
          <w:rFonts w:asciiTheme="minorHAnsi" w:hAnsiTheme="minorHAnsi" w:cstheme="minorHAnsi"/>
          <w:b/>
          <w:bCs/>
        </w:rPr>
        <w:t>ekannt gegeben</w:t>
      </w:r>
      <w:r w:rsidR="00042305" w:rsidRPr="0008732D">
        <w:rPr>
          <w:rFonts w:asciiTheme="minorHAnsi" w:hAnsiTheme="minorHAnsi" w:cstheme="minorHAnsi"/>
        </w:rPr>
        <w:t>, dass im Rahmen der al</w:t>
      </w:r>
      <w:r w:rsidR="008E6A18" w:rsidRPr="0008732D">
        <w:rPr>
          <w:rFonts w:asciiTheme="minorHAnsi" w:hAnsiTheme="minorHAnsi" w:cstheme="minorHAnsi"/>
        </w:rPr>
        <w:t>lgemeinen Vorprüfung des Einzel</w:t>
      </w:r>
      <w:r w:rsidR="00CD1F52" w:rsidRPr="0008732D">
        <w:rPr>
          <w:rFonts w:asciiTheme="minorHAnsi" w:hAnsiTheme="minorHAnsi" w:cstheme="minorHAnsi"/>
        </w:rPr>
        <w:t xml:space="preserve">falls nach § 9 Abs. 1 Nr. 2 UVPG </w:t>
      </w:r>
      <w:r w:rsidR="00042305" w:rsidRPr="0008732D">
        <w:rPr>
          <w:rFonts w:asciiTheme="minorHAnsi" w:hAnsiTheme="minorHAnsi" w:cstheme="minorHAnsi"/>
        </w:rPr>
        <w:t xml:space="preserve">festgestellt wurde, dass durch das genannte Vorhaben </w:t>
      </w:r>
      <w:r w:rsidR="0008732D">
        <w:rPr>
          <w:rFonts w:asciiTheme="minorHAnsi" w:hAnsiTheme="minorHAnsi" w:cstheme="minorHAnsi"/>
        </w:rPr>
        <w:t xml:space="preserve">in Bezug auf Schall </w:t>
      </w:r>
      <w:r w:rsidR="00042305" w:rsidRPr="0008732D">
        <w:rPr>
          <w:rFonts w:asciiTheme="minorHAnsi" w:hAnsiTheme="minorHAnsi" w:cstheme="minorHAnsi"/>
        </w:rPr>
        <w:t xml:space="preserve">keine </w:t>
      </w:r>
      <w:r w:rsidR="00CD1F52" w:rsidRPr="0008732D">
        <w:rPr>
          <w:rFonts w:asciiTheme="minorHAnsi" w:hAnsiTheme="minorHAnsi" w:cstheme="minorHAnsi"/>
        </w:rPr>
        <w:t xml:space="preserve">zusätzlichen </w:t>
      </w:r>
      <w:r w:rsidR="00042305" w:rsidRPr="0008732D">
        <w:rPr>
          <w:rFonts w:asciiTheme="minorHAnsi" w:hAnsiTheme="minorHAnsi" w:cstheme="minorHAnsi"/>
        </w:rPr>
        <w:t xml:space="preserve">erheblichen nachteiligen </w:t>
      </w:r>
      <w:r w:rsidR="00CD1F52" w:rsidRPr="0008732D">
        <w:rPr>
          <w:rFonts w:asciiTheme="minorHAnsi" w:hAnsiTheme="minorHAnsi" w:cstheme="minorHAnsi"/>
        </w:rPr>
        <w:t>oder andere</w:t>
      </w:r>
      <w:r w:rsidR="004C2F21" w:rsidRPr="0008732D">
        <w:rPr>
          <w:rFonts w:asciiTheme="minorHAnsi" w:hAnsiTheme="minorHAnsi" w:cstheme="minorHAnsi"/>
        </w:rPr>
        <w:t>n</w:t>
      </w:r>
      <w:r w:rsidR="00CD1F52" w:rsidRPr="0008732D">
        <w:rPr>
          <w:rFonts w:asciiTheme="minorHAnsi" w:hAnsiTheme="minorHAnsi" w:cstheme="minorHAnsi"/>
        </w:rPr>
        <w:t xml:space="preserve"> erhebliche</w:t>
      </w:r>
      <w:r w:rsidR="004C2F21" w:rsidRPr="0008732D">
        <w:rPr>
          <w:rFonts w:asciiTheme="minorHAnsi" w:hAnsiTheme="minorHAnsi" w:cstheme="minorHAnsi"/>
        </w:rPr>
        <w:t>n</w:t>
      </w:r>
      <w:r w:rsidR="00CD1F52" w:rsidRPr="0008732D">
        <w:rPr>
          <w:rFonts w:asciiTheme="minorHAnsi" w:hAnsiTheme="minorHAnsi" w:cstheme="minorHAnsi"/>
        </w:rPr>
        <w:t xml:space="preserve"> nachteilige</w:t>
      </w:r>
      <w:r w:rsidR="004C2F21" w:rsidRPr="0008732D">
        <w:rPr>
          <w:rFonts w:asciiTheme="minorHAnsi" w:hAnsiTheme="minorHAnsi" w:cstheme="minorHAnsi"/>
        </w:rPr>
        <w:t>n</w:t>
      </w:r>
      <w:r w:rsidR="00CD1F52" w:rsidRPr="0008732D">
        <w:rPr>
          <w:rFonts w:asciiTheme="minorHAnsi" w:hAnsiTheme="minorHAnsi" w:cstheme="minorHAnsi"/>
        </w:rPr>
        <w:t xml:space="preserve"> Umwelta</w:t>
      </w:r>
      <w:r w:rsidR="00042305" w:rsidRPr="0008732D">
        <w:rPr>
          <w:rFonts w:asciiTheme="minorHAnsi" w:hAnsiTheme="minorHAnsi" w:cstheme="minorHAnsi"/>
        </w:rPr>
        <w:t xml:space="preserve">uswirkungen </w:t>
      </w:r>
      <w:r w:rsidR="00CD1F52" w:rsidRPr="0008732D">
        <w:rPr>
          <w:rFonts w:asciiTheme="minorHAnsi" w:hAnsiTheme="minorHAnsi" w:cstheme="minorHAnsi"/>
        </w:rPr>
        <w:t>hervorrufen werden können</w:t>
      </w:r>
      <w:r w:rsidR="00042305" w:rsidRPr="0008732D">
        <w:rPr>
          <w:rFonts w:asciiTheme="minorHAnsi" w:hAnsiTheme="minorHAnsi" w:cstheme="minorHAnsi"/>
        </w:rPr>
        <w:t xml:space="preserve">, so dass im Rahmen des </w:t>
      </w:r>
      <w:r w:rsidR="0008732D">
        <w:rPr>
          <w:rFonts w:asciiTheme="minorHAnsi" w:hAnsiTheme="minorHAnsi" w:cstheme="minorHAnsi"/>
        </w:rPr>
        <w:t>Vorbescheid</w:t>
      </w:r>
      <w:r w:rsidRPr="0008732D">
        <w:rPr>
          <w:rFonts w:asciiTheme="minorHAnsi" w:hAnsiTheme="minorHAnsi" w:cstheme="minorHAnsi"/>
        </w:rPr>
        <w:t xml:space="preserve">verfahrens </w:t>
      </w:r>
      <w:r w:rsidR="00042305" w:rsidRPr="0008732D">
        <w:rPr>
          <w:rFonts w:asciiTheme="minorHAnsi" w:hAnsiTheme="minorHAnsi" w:cstheme="minorHAnsi"/>
          <w:b/>
          <w:bCs/>
        </w:rPr>
        <w:t>keine Umweltverträglichkeitsprüfung (UVP) erforderlich</w:t>
      </w:r>
      <w:r w:rsidR="00042305" w:rsidRPr="0008732D">
        <w:rPr>
          <w:rFonts w:asciiTheme="minorHAnsi" w:hAnsiTheme="minorHAnsi" w:cstheme="minorHAnsi"/>
        </w:rPr>
        <w:t xml:space="preserve"> ist.</w:t>
      </w:r>
    </w:p>
    <w:p w14:paraId="2AB15869" w14:textId="77777777" w:rsidR="00295794" w:rsidRPr="0008732D" w:rsidRDefault="00295794">
      <w:pPr>
        <w:jc w:val="both"/>
        <w:rPr>
          <w:rFonts w:asciiTheme="minorHAnsi" w:hAnsiTheme="minorHAnsi" w:cstheme="minorHAnsi"/>
          <w:sz w:val="24"/>
          <w:szCs w:val="24"/>
        </w:rPr>
      </w:pPr>
    </w:p>
    <w:p w14:paraId="70997AE0" w14:textId="39D5156E" w:rsidR="00042305" w:rsidRPr="0008732D" w:rsidRDefault="00042305">
      <w:pPr>
        <w:pStyle w:val="Formatvorlage1"/>
        <w:rPr>
          <w:rFonts w:asciiTheme="minorHAnsi" w:hAnsiTheme="minorHAnsi" w:cstheme="minorHAnsi"/>
          <w:sz w:val="24"/>
          <w:szCs w:val="24"/>
        </w:rPr>
      </w:pPr>
      <w:r w:rsidRPr="0008732D">
        <w:rPr>
          <w:rFonts w:asciiTheme="minorHAnsi" w:hAnsiTheme="minorHAnsi" w:cstheme="minorHAnsi"/>
          <w:sz w:val="24"/>
          <w:szCs w:val="24"/>
        </w:rPr>
        <w:t xml:space="preserve">Die Feststellung </w:t>
      </w:r>
      <w:r w:rsidR="00A6687B">
        <w:rPr>
          <w:rFonts w:asciiTheme="minorHAnsi" w:hAnsiTheme="minorHAnsi" w:cstheme="minorHAnsi"/>
          <w:sz w:val="24"/>
          <w:szCs w:val="24"/>
        </w:rPr>
        <w:t xml:space="preserve">über die UVP-Pflicht </w:t>
      </w:r>
      <w:r w:rsidRPr="0008732D">
        <w:rPr>
          <w:rFonts w:asciiTheme="minorHAnsi" w:hAnsiTheme="minorHAnsi" w:cstheme="minorHAnsi"/>
          <w:sz w:val="24"/>
          <w:szCs w:val="24"/>
        </w:rPr>
        <w:t>ist nicht selbstständig anfechtbar</w:t>
      </w:r>
      <w:r w:rsidR="00DF23D9">
        <w:rPr>
          <w:rFonts w:asciiTheme="minorHAnsi" w:hAnsiTheme="minorHAnsi" w:cstheme="minorHAnsi"/>
          <w:sz w:val="24"/>
          <w:szCs w:val="24"/>
        </w:rPr>
        <w:t xml:space="preserve"> und </w:t>
      </w:r>
      <w:r w:rsidR="00A6687B">
        <w:rPr>
          <w:rFonts w:asciiTheme="minorHAnsi" w:hAnsiTheme="minorHAnsi" w:cstheme="minorHAnsi"/>
          <w:sz w:val="24"/>
          <w:szCs w:val="24"/>
        </w:rPr>
        <w:t xml:space="preserve">eine Anfechtung der Vorprüfungsentscheidung </w:t>
      </w:r>
      <w:r w:rsidR="00DF23D9">
        <w:rPr>
          <w:rFonts w:asciiTheme="minorHAnsi" w:hAnsiTheme="minorHAnsi" w:cstheme="minorHAnsi"/>
          <w:sz w:val="24"/>
          <w:szCs w:val="24"/>
        </w:rPr>
        <w:t>kann nur zusammen mit der Zulassungsentscheidung erfolgen.</w:t>
      </w:r>
      <w:r w:rsidRPr="0008732D">
        <w:rPr>
          <w:rFonts w:asciiTheme="minorHAnsi" w:hAnsiTheme="minorHAnsi" w:cstheme="minorHAnsi"/>
          <w:sz w:val="24"/>
          <w:szCs w:val="24"/>
        </w:rPr>
        <w:t xml:space="preserve"> Beruht die Feststellung</w:t>
      </w:r>
      <w:r w:rsidR="00295794" w:rsidRPr="0008732D">
        <w:rPr>
          <w:rFonts w:asciiTheme="minorHAnsi" w:hAnsiTheme="minorHAnsi" w:cstheme="minorHAnsi"/>
          <w:sz w:val="24"/>
          <w:szCs w:val="24"/>
        </w:rPr>
        <w:t xml:space="preserve"> auf einer V</w:t>
      </w:r>
      <w:r w:rsidRPr="0008732D">
        <w:rPr>
          <w:rFonts w:asciiTheme="minorHAnsi" w:hAnsiTheme="minorHAnsi" w:cstheme="minorHAnsi"/>
          <w:sz w:val="24"/>
          <w:szCs w:val="24"/>
        </w:rPr>
        <w:t>orprüfung</w:t>
      </w:r>
      <w:r w:rsidR="00295794" w:rsidRPr="0008732D">
        <w:rPr>
          <w:rFonts w:asciiTheme="minorHAnsi" w:hAnsiTheme="minorHAnsi" w:cstheme="minorHAnsi"/>
          <w:sz w:val="24"/>
          <w:szCs w:val="24"/>
        </w:rPr>
        <w:t>, so</w:t>
      </w:r>
      <w:r w:rsidRPr="0008732D">
        <w:rPr>
          <w:rFonts w:asciiTheme="minorHAnsi" w:hAnsiTheme="minorHAnsi" w:cstheme="minorHAnsi"/>
          <w:sz w:val="24"/>
          <w:szCs w:val="24"/>
        </w:rPr>
        <w:t xml:space="preserve"> ist die Einschätzung der zuständigen Behörde in einem gerichtlichen Verfahren betreffend die </w:t>
      </w:r>
      <w:r w:rsidR="00295794" w:rsidRPr="0008732D">
        <w:rPr>
          <w:rFonts w:asciiTheme="minorHAnsi" w:hAnsiTheme="minorHAnsi" w:cstheme="minorHAnsi"/>
          <w:sz w:val="24"/>
          <w:szCs w:val="24"/>
        </w:rPr>
        <w:t>Zulassungse</w:t>
      </w:r>
      <w:r w:rsidRPr="0008732D">
        <w:rPr>
          <w:rFonts w:asciiTheme="minorHAnsi" w:hAnsiTheme="minorHAnsi" w:cstheme="minorHAnsi"/>
          <w:sz w:val="24"/>
          <w:szCs w:val="24"/>
        </w:rPr>
        <w:t>ntscheidung nur darauf</w:t>
      </w:r>
      <w:r w:rsidR="00295794" w:rsidRPr="0008732D">
        <w:rPr>
          <w:rFonts w:asciiTheme="minorHAnsi" w:hAnsiTheme="minorHAnsi" w:cstheme="minorHAnsi"/>
          <w:sz w:val="24"/>
          <w:szCs w:val="24"/>
        </w:rPr>
        <w:t>hin</w:t>
      </w:r>
      <w:r w:rsidRPr="0008732D">
        <w:rPr>
          <w:rFonts w:asciiTheme="minorHAnsi" w:hAnsiTheme="minorHAnsi" w:cstheme="minorHAnsi"/>
          <w:sz w:val="24"/>
          <w:szCs w:val="24"/>
        </w:rPr>
        <w:t xml:space="preserve"> zu überprüfen, ob die Vorprüfung entsprechend den Vorgaben </w:t>
      </w:r>
      <w:r w:rsidR="00295794" w:rsidRPr="0008732D">
        <w:rPr>
          <w:rFonts w:asciiTheme="minorHAnsi" w:hAnsiTheme="minorHAnsi" w:cstheme="minorHAnsi"/>
          <w:sz w:val="24"/>
          <w:szCs w:val="24"/>
        </w:rPr>
        <w:t>des</w:t>
      </w:r>
      <w:r w:rsidRPr="0008732D">
        <w:rPr>
          <w:rFonts w:asciiTheme="minorHAnsi" w:hAnsiTheme="minorHAnsi" w:cstheme="minorHAnsi"/>
          <w:sz w:val="24"/>
          <w:szCs w:val="24"/>
        </w:rPr>
        <w:t xml:space="preserve"> §</w:t>
      </w:r>
      <w:r w:rsidR="00295794" w:rsidRPr="0008732D">
        <w:rPr>
          <w:rFonts w:asciiTheme="minorHAnsi" w:hAnsiTheme="minorHAnsi" w:cstheme="minorHAnsi"/>
          <w:sz w:val="24"/>
          <w:szCs w:val="24"/>
        </w:rPr>
        <w:t xml:space="preserve"> 7</w:t>
      </w:r>
      <w:r w:rsidRPr="0008732D">
        <w:rPr>
          <w:rFonts w:asciiTheme="minorHAnsi" w:hAnsiTheme="minorHAnsi" w:cstheme="minorHAnsi"/>
          <w:sz w:val="24"/>
          <w:szCs w:val="24"/>
        </w:rPr>
        <w:t xml:space="preserve"> UVPG durchgeführt worden ist und ob das Ergebnis nachvollziehbar ist.</w:t>
      </w:r>
    </w:p>
    <w:p w14:paraId="4B0BDCD5" w14:textId="020D101F" w:rsidR="00042305" w:rsidRDefault="00042305">
      <w:pPr>
        <w:jc w:val="both"/>
        <w:rPr>
          <w:rFonts w:asciiTheme="minorHAnsi" w:hAnsiTheme="minorHAnsi" w:cstheme="minorHAnsi"/>
          <w:sz w:val="24"/>
          <w:szCs w:val="24"/>
        </w:rPr>
      </w:pPr>
    </w:p>
    <w:p w14:paraId="317085C0" w14:textId="0D303F98" w:rsidR="00DF23D9" w:rsidRDefault="00DF23D9" w:rsidP="00DF23D9">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Hinweis:</w:t>
      </w:r>
    </w:p>
    <w:p w14:paraId="4A30200C" w14:textId="10BCAE1F" w:rsidR="00DF23D9" w:rsidRPr="00DF23D9" w:rsidRDefault="00DF23D9" w:rsidP="00DF23D9">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w:t>
      </w:r>
      <w:r w:rsidRPr="00DF23D9">
        <w:rPr>
          <w:rFonts w:asciiTheme="minorHAnsi" w:hAnsiTheme="minorHAnsi" w:cstheme="minorHAnsi"/>
          <w:sz w:val="24"/>
          <w:szCs w:val="24"/>
        </w:rPr>
        <w:t>ie Dokumentation über die Vorprüfung (vergleiche § 7 Absatz 7</w:t>
      </w:r>
      <w:r>
        <w:rPr>
          <w:rFonts w:asciiTheme="minorHAnsi" w:hAnsiTheme="minorHAnsi" w:cstheme="minorHAnsi"/>
          <w:sz w:val="24"/>
          <w:szCs w:val="24"/>
        </w:rPr>
        <w:t xml:space="preserve"> </w:t>
      </w:r>
      <w:r w:rsidRPr="00DF23D9">
        <w:rPr>
          <w:rFonts w:asciiTheme="minorHAnsi" w:hAnsiTheme="minorHAnsi" w:cstheme="minorHAnsi"/>
          <w:sz w:val="24"/>
          <w:szCs w:val="24"/>
        </w:rPr>
        <w:t xml:space="preserve">UVPG) </w:t>
      </w:r>
      <w:r>
        <w:rPr>
          <w:rFonts w:asciiTheme="minorHAnsi" w:hAnsiTheme="minorHAnsi" w:cstheme="minorHAnsi"/>
          <w:sz w:val="24"/>
          <w:szCs w:val="24"/>
        </w:rPr>
        <w:t xml:space="preserve">ist </w:t>
      </w:r>
      <w:r w:rsidRPr="00DF23D9">
        <w:rPr>
          <w:rFonts w:asciiTheme="minorHAnsi" w:hAnsiTheme="minorHAnsi" w:cstheme="minorHAnsi"/>
          <w:sz w:val="24"/>
          <w:szCs w:val="24"/>
        </w:rPr>
        <w:t>unter den Voraussetzungen der Bestimmungen des Bundes und der Länder über den Zugang zu Umweltinformationen</w:t>
      </w:r>
      <w:r>
        <w:rPr>
          <w:rFonts w:asciiTheme="minorHAnsi" w:hAnsiTheme="minorHAnsi" w:cstheme="minorHAnsi"/>
          <w:sz w:val="24"/>
          <w:szCs w:val="24"/>
        </w:rPr>
        <w:t xml:space="preserve"> </w:t>
      </w:r>
      <w:r w:rsidRPr="00DF23D9">
        <w:rPr>
          <w:rFonts w:asciiTheme="minorHAnsi" w:hAnsiTheme="minorHAnsi" w:cstheme="minorHAnsi"/>
          <w:sz w:val="24"/>
          <w:szCs w:val="24"/>
        </w:rPr>
        <w:t>zugänglich.</w:t>
      </w:r>
    </w:p>
    <w:p w14:paraId="2123C227" w14:textId="77777777" w:rsidR="0012755F" w:rsidRPr="0008732D" w:rsidRDefault="0012755F">
      <w:pPr>
        <w:jc w:val="both"/>
        <w:rPr>
          <w:rFonts w:asciiTheme="minorHAnsi" w:hAnsiTheme="minorHAnsi" w:cstheme="minorHAnsi"/>
          <w:sz w:val="24"/>
          <w:szCs w:val="24"/>
        </w:rPr>
      </w:pPr>
    </w:p>
    <w:p w14:paraId="3D8E0F5B" w14:textId="56E61F20" w:rsidR="00042305" w:rsidRPr="0008732D" w:rsidRDefault="00042305">
      <w:pPr>
        <w:tabs>
          <w:tab w:val="left" w:pos="4860"/>
        </w:tabs>
        <w:ind w:right="229"/>
        <w:rPr>
          <w:rFonts w:asciiTheme="minorHAnsi" w:hAnsiTheme="minorHAnsi" w:cstheme="minorHAnsi"/>
          <w:sz w:val="24"/>
          <w:szCs w:val="24"/>
        </w:rPr>
      </w:pPr>
    </w:p>
    <w:sectPr w:rsidR="00042305" w:rsidRPr="0008732D">
      <w:headerReference w:type="even" r:id="rId7"/>
      <w:headerReference w:type="default" r:id="rId8"/>
      <w:footerReference w:type="default" r:id="rId9"/>
      <w:pgSz w:w="11906" w:h="16838"/>
      <w:pgMar w:top="1417" w:right="1417" w:bottom="1134"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7628" w14:textId="77777777" w:rsidR="00D50CCA" w:rsidRDefault="00D50CCA">
      <w:r>
        <w:separator/>
      </w:r>
    </w:p>
  </w:endnote>
  <w:endnote w:type="continuationSeparator" w:id="0">
    <w:p w14:paraId="2F208758" w14:textId="77777777" w:rsidR="00D50CCA" w:rsidRDefault="00D5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771F" w14:textId="77777777" w:rsidR="00042305" w:rsidRDefault="00042305">
    <w:pPr>
      <w:pStyle w:val="Fuzeile"/>
      <w:pBdr>
        <w:bottom w:val="single" w:sz="12" w:space="1" w:color="auto"/>
      </w:pBdr>
    </w:pPr>
  </w:p>
  <w:p w14:paraId="3ACE91B7" w14:textId="77777777" w:rsidR="00042305" w:rsidRDefault="00042305">
    <w:pPr>
      <w:pStyle w:val="Fuzeile"/>
      <w:rPr>
        <w:rFonts w:ascii="Arial" w:hAnsi="Arial" w:cs="Arial"/>
      </w:rPr>
    </w:pPr>
    <w:r>
      <w:tab/>
    </w:r>
    <w:r>
      <w:tab/>
    </w:r>
    <w:r>
      <w:rPr>
        <w:rFonts w:ascii="Arial" w:hAnsi="Arial" w:cs="Arial"/>
      </w:rPr>
      <w:t xml:space="preserve">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74CD0">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E74CD0">
      <w:rPr>
        <w:rFonts w:ascii="Arial" w:hAnsi="Arial" w:cs="Arial"/>
        <w:noProof/>
      </w:rPr>
      <w:t>2</w:t>
    </w:r>
    <w:r>
      <w:rPr>
        <w:rFonts w:ascii="Arial" w:hAnsi="Arial" w:cs="Arial"/>
      </w:rPr>
      <w:fldChar w:fldCharType="end"/>
    </w:r>
  </w:p>
  <w:p w14:paraId="21B8EED3" w14:textId="77777777" w:rsidR="00042305" w:rsidRDefault="000423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E8EF" w14:textId="77777777" w:rsidR="00D50CCA" w:rsidRDefault="00D50CCA">
      <w:r>
        <w:separator/>
      </w:r>
    </w:p>
  </w:footnote>
  <w:footnote w:type="continuationSeparator" w:id="0">
    <w:p w14:paraId="565A3EA1" w14:textId="77777777" w:rsidR="00D50CCA" w:rsidRDefault="00D50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38E1" w14:textId="77777777" w:rsidR="00042305" w:rsidRDefault="0004230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3FBFC4" w14:textId="77777777" w:rsidR="00042305" w:rsidRDefault="0004230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6717" w14:textId="77777777" w:rsidR="00042305" w:rsidRDefault="00042305">
    <w:pPr>
      <w:pStyle w:val="Kopfzeile"/>
      <w:pBdr>
        <w:bottom w:val="single" w:sz="12" w:space="1" w:color="auto"/>
      </w:pBdr>
      <w:rPr>
        <w:rFonts w:ascii="Arial" w:hAnsi="Arial" w:cs="Arial"/>
      </w:rPr>
    </w:pPr>
    <w:r>
      <w:rPr>
        <w:rFonts w:ascii="Arial" w:hAnsi="Arial" w:cs="Arial"/>
      </w:rPr>
      <w:t>Aktennotiz</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74CD0">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E74CD0">
      <w:rPr>
        <w:rFonts w:ascii="Arial" w:hAnsi="Arial" w:cs="Arial"/>
        <w:noProof/>
      </w:rPr>
      <w:t>2</w:t>
    </w:r>
    <w:r>
      <w:rPr>
        <w:rFonts w:ascii="Arial" w:hAnsi="Arial" w:cs="Arial"/>
      </w:rPr>
      <w:fldChar w:fldCharType="end"/>
    </w:r>
  </w:p>
  <w:p w14:paraId="5B8D9A6C" w14:textId="77777777" w:rsidR="00042305" w:rsidRDefault="00042305">
    <w:pPr>
      <w:pStyle w:val="Kopfzeile"/>
      <w:rPr>
        <w:rFonts w:ascii="Arial" w:hAnsi="Arial" w:cs="Arial"/>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54214"/>
    <w:multiLevelType w:val="hybridMultilevel"/>
    <w:tmpl w:val="528E8E5C"/>
    <w:lvl w:ilvl="0" w:tplc="04070003">
      <w:start w:val="1"/>
      <w:numFmt w:val="bullet"/>
      <w:lvlText w:val="o"/>
      <w:lvlJc w:val="left"/>
      <w:pPr>
        <w:tabs>
          <w:tab w:val="num" w:pos="3064"/>
        </w:tabs>
        <w:ind w:left="3064" w:hanging="360"/>
      </w:pPr>
      <w:rPr>
        <w:rFonts w:ascii="Courier New" w:hAnsi="Courier New" w:hint="default"/>
      </w:rPr>
    </w:lvl>
    <w:lvl w:ilvl="1" w:tplc="04070003" w:tentative="1">
      <w:start w:val="1"/>
      <w:numFmt w:val="bullet"/>
      <w:lvlText w:val="o"/>
      <w:lvlJc w:val="left"/>
      <w:pPr>
        <w:tabs>
          <w:tab w:val="num" w:pos="3784"/>
        </w:tabs>
        <w:ind w:left="3784" w:hanging="360"/>
      </w:pPr>
      <w:rPr>
        <w:rFonts w:ascii="Courier New" w:hAnsi="Courier New" w:hint="default"/>
      </w:rPr>
    </w:lvl>
    <w:lvl w:ilvl="2" w:tplc="04070005" w:tentative="1">
      <w:start w:val="1"/>
      <w:numFmt w:val="bullet"/>
      <w:lvlText w:val=""/>
      <w:lvlJc w:val="left"/>
      <w:pPr>
        <w:tabs>
          <w:tab w:val="num" w:pos="4504"/>
        </w:tabs>
        <w:ind w:left="4504" w:hanging="360"/>
      </w:pPr>
      <w:rPr>
        <w:rFonts w:ascii="Wingdings" w:hAnsi="Wingdings" w:hint="default"/>
      </w:rPr>
    </w:lvl>
    <w:lvl w:ilvl="3" w:tplc="04070001" w:tentative="1">
      <w:start w:val="1"/>
      <w:numFmt w:val="bullet"/>
      <w:lvlText w:val=""/>
      <w:lvlJc w:val="left"/>
      <w:pPr>
        <w:tabs>
          <w:tab w:val="num" w:pos="5224"/>
        </w:tabs>
        <w:ind w:left="5224" w:hanging="360"/>
      </w:pPr>
      <w:rPr>
        <w:rFonts w:ascii="Symbol" w:hAnsi="Symbol" w:hint="default"/>
      </w:rPr>
    </w:lvl>
    <w:lvl w:ilvl="4" w:tplc="04070003" w:tentative="1">
      <w:start w:val="1"/>
      <w:numFmt w:val="bullet"/>
      <w:lvlText w:val="o"/>
      <w:lvlJc w:val="left"/>
      <w:pPr>
        <w:tabs>
          <w:tab w:val="num" w:pos="5944"/>
        </w:tabs>
        <w:ind w:left="5944" w:hanging="360"/>
      </w:pPr>
      <w:rPr>
        <w:rFonts w:ascii="Courier New" w:hAnsi="Courier New" w:hint="default"/>
      </w:rPr>
    </w:lvl>
    <w:lvl w:ilvl="5" w:tplc="04070005" w:tentative="1">
      <w:start w:val="1"/>
      <w:numFmt w:val="bullet"/>
      <w:lvlText w:val=""/>
      <w:lvlJc w:val="left"/>
      <w:pPr>
        <w:tabs>
          <w:tab w:val="num" w:pos="6664"/>
        </w:tabs>
        <w:ind w:left="6664" w:hanging="360"/>
      </w:pPr>
      <w:rPr>
        <w:rFonts w:ascii="Wingdings" w:hAnsi="Wingdings" w:hint="default"/>
      </w:rPr>
    </w:lvl>
    <w:lvl w:ilvl="6" w:tplc="04070001" w:tentative="1">
      <w:start w:val="1"/>
      <w:numFmt w:val="bullet"/>
      <w:lvlText w:val=""/>
      <w:lvlJc w:val="left"/>
      <w:pPr>
        <w:tabs>
          <w:tab w:val="num" w:pos="7384"/>
        </w:tabs>
        <w:ind w:left="7384" w:hanging="360"/>
      </w:pPr>
      <w:rPr>
        <w:rFonts w:ascii="Symbol" w:hAnsi="Symbol" w:hint="default"/>
      </w:rPr>
    </w:lvl>
    <w:lvl w:ilvl="7" w:tplc="04070003" w:tentative="1">
      <w:start w:val="1"/>
      <w:numFmt w:val="bullet"/>
      <w:lvlText w:val="o"/>
      <w:lvlJc w:val="left"/>
      <w:pPr>
        <w:tabs>
          <w:tab w:val="num" w:pos="8104"/>
        </w:tabs>
        <w:ind w:left="8104" w:hanging="360"/>
      </w:pPr>
      <w:rPr>
        <w:rFonts w:ascii="Courier New" w:hAnsi="Courier New" w:hint="default"/>
      </w:rPr>
    </w:lvl>
    <w:lvl w:ilvl="8" w:tplc="04070005" w:tentative="1">
      <w:start w:val="1"/>
      <w:numFmt w:val="bullet"/>
      <w:lvlText w:val=""/>
      <w:lvlJc w:val="left"/>
      <w:pPr>
        <w:tabs>
          <w:tab w:val="num" w:pos="8824"/>
        </w:tabs>
        <w:ind w:left="8824" w:hanging="360"/>
      </w:pPr>
      <w:rPr>
        <w:rFonts w:ascii="Wingdings" w:hAnsi="Wingdings" w:hint="default"/>
      </w:rPr>
    </w:lvl>
  </w:abstractNum>
  <w:abstractNum w:abstractNumId="1" w15:restartNumberingAfterBreak="0">
    <w:nsid w:val="2B80009E"/>
    <w:multiLevelType w:val="hybridMultilevel"/>
    <w:tmpl w:val="9B2C7EDC"/>
    <w:lvl w:ilvl="0" w:tplc="04070003">
      <w:start w:val="1"/>
      <w:numFmt w:val="bullet"/>
      <w:lvlText w:val="o"/>
      <w:lvlJc w:val="left"/>
      <w:pPr>
        <w:tabs>
          <w:tab w:val="num" w:pos="1428"/>
        </w:tabs>
        <w:ind w:left="1428" w:hanging="360"/>
      </w:pPr>
      <w:rPr>
        <w:rFonts w:ascii="Courier New" w:hAnsi="Courier New"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8AE3261"/>
    <w:multiLevelType w:val="hybridMultilevel"/>
    <w:tmpl w:val="D4622FA4"/>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4E0453"/>
    <w:multiLevelType w:val="hybridMultilevel"/>
    <w:tmpl w:val="048603C2"/>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11775BB"/>
    <w:multiLevelType w:val="hybridMultilevel"/>
    <w:tmpl w:val="D3C23B76"/>
    <w:lvl w:ilvl="0" w:tplc="04070003">
      <w:start w:val="1"/>
      <w:numFmt w:val="bullet"/>
      <w:lvlText w:val="o"/>
      <w:lvlJc w:val="left"/>
      <w:pPr>
        <w:tabs>
          <w:tab w:val="num" w:pos="-12"/>
        </w:tabs>
        <w:ind w:left="-12" w:hanging="360"/>
      </w:pPr>
      <w:rPr>
        <w:rFonts w:ascii="Courier New" w:hAnsi="Courier New" w:hint="default"/>
      </w:rPr>
    </w:lvl>
    <w:lvl w:ilvl="1" w:tplc="04070003">
      <w:start w:val="1"/>
      <w:numFmt w:val="bullet"/>
      <w:lvlText w:val="o"/>
      <w:lvlJc w:val="left"/>
      <w:pPr>
        <w:tabs>
          <w:tab w:val="num" w:pos="708"/>
        </w:tabs>
        <w:ind w:left="708" w:hanging="360"/>
      </w:pPr>
      <w:rPr>
        <w:rFonts w:ascii="Courier New" w:hAnsi="Courier New" w:hint="default"/>
      </w:rPr>
    </w:lvl>
    <w:lvl w:ilvl="2" w:tplc="04070005">
      <w:start w:val="1"/>
      <w:numFmt w:val="bullet"/>
      <w:lvlText w:val=""/>
      <w:lvlJc w:val="left"/>
      <w:pPr>
        <w:tabs>
          <w:tab w:val="num" w:pos="1428"/>
        </w:tabs>
        <w:ind w:left="1428" w:hanging="360"/>
      </w:pPr>
      <w:rPr>
        <w:rFonts w:ascii="Wingdings" w:hAnsi="Wingdings" w:hint="default"/>
      </w:rPr>
    </w:lvl>
    <w:lvl w:ilvl="3" w:tplc="04070001">
      <w:start w:val="1"/>
      <w:numFmt w:val="bullet"/>
      <w:lvlText w:val=""/>
      <w:lvlJc w:val="left"/>
      <w:pPr>
        <w:tabs>
          <w:tab w:val="num" w:pos="2148"/>
        </w:tabs>
        <w:ind w:left="2148" w:hanging="360"/>
      </w:pPr>
      <w:rPr>
        <w:rFonts w:ascii="Symbol" w:hAnsi="Symbol" w:hint="default"/>
      </w:rPr>
    </w:lvl>
    <w:lvl w:ilvl="4" w:tplc="04070003">
      <w:start w:val="1"/>
      <w:numFmt w:val="bullet"/>
      <w:lvlText w:val="o"/>
      <w:lvlJc w:val="left"/>
      <w:pPr>
        <w:tabs>
          <w:tab w:val="num" w:pos="2868"/>
        </w:tabs>
        <w:ind w:left="2868" w:hanging="360"/>
      </w:pPr>
      <w:rPr>
        <w:rFonts w:ascii="Courier New" w:hAnsi="Courier New" w:hint="default"/>
      </w:rPr>
    </w:lvl>
    <w:lvl w:ilvl="5" w:tplc="04070005" w:tentative="1">
      <w:start w:val="1"/>
      <w:numFmt w:val="bullet"/>
      <w:lvlText w:val=""/>
      <w:lvlJc w:val="left"/>
      <w:pPr>
        <w:tabs>
          <w:tab w:val="num" w:pos="3588"/>
        </w:tabs>
        <w:ind w:left="3588" w:hanging="360"/>
      </w:pPr>
      <w:rPr>
        <w:rFonts w:ascii="Wingdings" w:hAnsi="Wingdings" w:hint="default"/>
      </w:rPr>
    </w:lvl>
    <w:lvl w:ilvl="6" w:tplc="04070001" w:tentative="1">
      <w:start w:val="1"/>
      <w:numFmt w:val="bullet"/>
      <w:lvlText w:val=""/>
      <w:lvlJc w:val="left"/>
      <w:pPr>
        <w:tabs>
          <w:tab w:val="num" w:pos="4308"/>
        </w:tabs>
        <w:ind w:left="4308" w:hanging="360"/>
      </w:pPr>
      <w:rPr>
        <w:rFonts w:ascii="Symbol" w:hAnsi="Symbol" w:hint="default"/>
      </w:rPr>
    </w:lvl>
    <w:lvl w:ilvl="7" w:tplc="04070003" w:tentative="1">
      <w:start w:val="1"/>
      <w:numFmt w:val="bullet"/>
      <w:lvlText w:val="o"/>
      <w:lvlJc w:val="left"/>
      <w:pPr>
        <w:tabs>
          <w:tab w:val="num" w:pos="5028"/>
        </w:tabs>
        <w:ind w:left="5028" w:hanging="360"/>
      </w:pPr>
      <w:rPr>
        <w:rFonts w:ascii="Courier New" w:hAnsi="Courier New" w:hint="default"/>
      </w:rPr>
    </w:lvl>
    <w:lvl w:ilvl="8" w:tplc="04070005" w:tentative="1">
      <w:start w:val="1"/>
      <w:numFmt w:val="bullet"/>
      <w:lvlText w:val=""/>
      <w:lvlJc w:val="left"/>
      <w:pPr>
        <w:tabs>
          <w:tab w:val="num" w:pos="5748"/>
        </w:tabs>
        <w:ind w:left="5748" w:hanging="360"/>
      </w:pPr>
      <w:rPr>
        <w:rFonts w:ascii="Wingdings" w:hAnsi="Wingdings" w:hint="default"/>
      </w:rPr>
    </w:lvl>
  </w:abstractNum>
  <w:abstractNum w:abstractNumId="5" w15:restartNumberingAfterBreak="0">
    <w:nsid w:val="781E72B0"/>
    <w:multiLevelType w:val="hybridMultilevel"/>
    <w:tmpl w:val="2C786F0A"/>
    <w:lvl w:ilvl="0" w:tplc="04070003">
      <w:start w:val="1"/>
      <w:numFmt w:val="bullet"/>
      <w:lvlText w:val="o"/>
      <w:lvlJc w:val="left"/>
      <w:pPr>
        <w:tabs>
          <w:tab w:val="num" w:pos="1080"/>
        </w:tabs>
        <w:ind w:left="108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FDC0260"/>
    <w:multiLevelType w:val="hybridMultilevel"/>
    <w:tmpl w:val="A628C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EA"/>
    <w:rsid w:val="0001429F"/>
    <w:rsid w:val="00042305"/>
    <w:rsid w:val="00060769"/>
    <w:rsid w:val="00073DE5"/>
    <w:rsid w:val="0008732D"/>
    <w:rsid w:val="00112CA8"/>
    <w:rsid w:val="0012755F"/>
    <w:rsid w:val="00137691"/>
    <w:rsid w:val="001A1618"/>
    <w:rsid w:val="001B0579"/>
    <w:rsid w:val="001B3551"/>
    <w:rsid w:val="001E7048"/>
    <w:rsid w:val="00295794"/>
    <w:rsid w:val="002A4F71"/>
    <w:rsid w:val="0031605F"/>
    <w:rsid w:val="003B2635"/>
    <w:rsid w:val="0040649A"/>
    <w:rsid w:val="004C0C79"/>
    <w:rsid w:val="004C2F21"/>
    <w:rsid w:val="004D0EB2"/>
    <w:rsid w:val="005860E2"/>
    <w:rsid w:val="0062615E"/>
    <w:rsid w:val="006C5CE8"/>
    <w:rsid w:val="006E1432"/>
    <w:rsid w:val="006F0D9C"/>
    <w:rsid w:val="00726FB3"/>
    <w:rsid w:val="00746B7C"/>
    <w:rsid w:val="00785823"/>
    <w:rsid w:val="007F7A92"/>
    <w:rsid w:val="008E6A18"/>
    <w:rsid w:val="009102AD"/>
    <w:rsid w:val="009913FC"/>
    <w:rsid w:val="009C48DE"/>
    <w:rsid w:val="009E444A"/>
    <w:rsid w:val="00A114EC"/>
    <w:rsid w:val="00A167B7"/>
    <w:rsid w:val="00A25A81"/>
    <w:rsid w:val="00A6687B"/>
    <w:rsid w:val="00A8290C"/>
    <w:rsid w:val="00B132FB"/>
    <w:rsid w:val="00B6302D"/>
    <w:rsid w:val="00B76FC3"/>
    <w:rsid w:val="00BA4E11"/>
    <w:rsid w:val="00BF6062"/>
    <w:rsid w:val="00C02D68"/>
    <w:rsid w:val="00C63B74"/>
    <w:rsid w:val="00CD1F52"/>
    <w:rsid w:val="00D50CCA"/>
    <w:rsid w:val="00DC7120"/>
    <w:rsid w:val="00DF23D9"/>
    <w:rsid w:val="00DF2C90"/>
    <w:rsid w:val="00E74CD0"/>
    <w:rsid w:val="00E91A91"/>
    <w:rsid w:val="00EC2B69"/>
    <w:rsid w:val="00ED0D29"/>
    <w:rsid w:val="00F434EA"/>
    <w:rsid w:val="00F65BED"/>
    <w:rsid w:val="00FF41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67881"/>
  <w15:chartTrackingRefBased/>
  <w15:docId w15:val="{B8A3E24E-1D0F-4E76-9301-8F2FCFA8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sz w:val="36"/>
      <w:szCs w:val="36"/>
    </w:rPr>
  </w:style>
  <w:style w:type="paragraph" w:styleId="berschrift2">
    <w:name w:val="heading 2"/>
    <w:basedOn w:val="Standard"/>
    <w:next w:val="Standard"/>
    <w:qFormat/>
    <w:pPr>
      <w:keepNext/>
      <w:outlineLvl w:val="1"/>
    </w:pPr>
    <w:rPr>
      <w:rFonts w:ascii="Arial" w:hAnsi="Arial"/>
      <w:i/>
      <w:iCs/>
      <w:sz w:val="22"/>
    </w:rPr>
  </w:style>
  <w:style w:type="paragraph" w:styleId="berschrift3">
    <w:name w:val="heading 3"/>
    <w:basedOn w:val="Standard"/>
    <w:next w:val="Standard"/>
    <w:qFormat/>
    <w:pPr>
      <w:keepNext/>
      <w:ind w:left="-360" w:firstLine="348"/>
      <w:outlineLvl w:val="2"/>
    </w:pPr>
    <w:rPr>
      <w:rFonts w:ascii="Arial" w:hAnsi="Arial"/>
      <w:i/>
      <w:iCs/>
      <w:sz w:val="22"/>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jc w:val="both"/>
    </w:pPr>
    <w:rPr>
      <w:rFonts w:ascii="Arial" w:hAnsi="Arial"/>
    </w:rPr>
  </w:style>
  <w:style w:type="paragraph" w:styleId="Textkrper">
    <w:name w:val="Body Text"/>
    <w:basedOn w:val="Standard"/>
    <w:semiHidden/>
    <w:rPr>
      <w:rFonts w:ascii="Arial" w:hAnsi="Arial"/>
      <w:sz w:val="18"/>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2">
    <w:name w:val="Body Text 2"/>
    <w:basedOn w:val="Standard"/>
    <w:semiHidden/>
    <w:pPr>
      <w:jc w:val="both"/>
    </w:pPr>
    <w:rPr>
      <w:rFonts w:ascii="Arial" w:hAnsi="Arial"/>
      <w:sz w:val="24"/>
      <w:szCs w:val="24"/>
    </w:rPr>
  </w:style>
  <w:style w:type="character" w:styleId="Hyperlink">
    <w:name w:val="Hyperlink"/>
    <w:semiHidden/>
    <w:rPr>
      <w:color w:val="0000FF"/>
      <w:u w:val="single"/>
    </w:rPr>
  </w:style>
  <w:style w:type="paragraph" w:styleId="Textkrper3">
    <w:name w:val="Body Text 3"/>
    <w:basedOn w:val="Standard"/>
    <w:semiHidden/>
    <w:pPr>
      <w:jc w:val="both"/>
    </w:pPr>
    <w:rPr>
      <w:rFonts w:ascii="Arial" w:hAnsi="Arial"/>
      <w:b/>
      <w:sz w:val="22"/>
      <w:szCs w:val="26"/>
    </w:rPr>
  </w:style>
  <w:style w:type="character" w:customStyle="1" w:styleId="BesuchterHyperlink">
    <w:name w:val="BesuchterHyperlink"/>
    <w:semiHidden/>
    <w:rPr>
      <w:color w:val="800080"/>
      <w:u w:val="single"/>
    </w:rPr>
  </w:style>
  <w:style w:type="table" w:styleId="Tabellenraster">
    <w:name w:val="Table Grid"/>
    <w:basedOn w:val="NormaleTabelle"/>
    <w:uiPriority w:val="39"/>
    <w:rsid w:val="00B1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bsatz-Standardschriftart"/>
    <w:rsid w:val="0031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LK MSH Umweltamt</vt:lpstr>
    </vt:vector>
  </TitlesOfParts>
  <Company>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 MSH Umweltamt</dc:title>
  <dc:subject/>
  <dc:creator>Pietzsch</dc:creator>
  <cp:keywords/>
  <cp:lastModifiedBy>Ertmer, Kristin</cp:lastModifiedBy>
  <cp:revision>6</cp:revision>
  <cp:lastPrinted>2014-12-04T08:46:00Z</cp:lastPrinted>
  <dcterms:created xsi:type="dcterms:W3CDTF">2025-06-04T07:13:00Z</dcterms:created>
  <dcterms:modified xsi:type="dcterms:W3CDTF">2025-06-04T07:44:00Z</dcterms:modified>
</cp:coreProperties>
</file>