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8A" w:rsidRPr="00FF738A" w:rsidRDefault="007E3E70" w:rsidP="007E3E70">
      <w:pPr>
        <w:jc w:val="both"/>
        <w:rPr>
          <w:rFonts w:ascii="Noto Sans" w:hAnsi="Noto Sans" w:cs="Noto Sans"/>
          <w:b/>
        </w:rPr>
      </w:pPr>
      <w:r w:rsidRPr="00FF738A">
        <w:rPr>
          <w:rFonts w:ascii="Noto Sans" w:hAnsi="Noto Sans" w:cs="Noto Sans"/>
          <w:b/>
        </w:rPr>
        <w:t>Abfallrechtlicher Antrag auf Erteilung des Planfeststellungsbeschlusses für das Vorhaben zur Errichtung und zum Betrieb einer DK 0 – Boden- und Bauschuttdeponie auf dem Gelände des Kies- und Sandtagebaus Lösau gemäß §§ 35 Abs. 2 Kreislaufwirtschaftsgesetz (KrWG) und 19 Abs. 1 Deponieverordnung (</w:t>
      </w:r>
      <w:proofErr w:type="spellStart"/>
      <w:r w:rsidRPr="00FF738A">
        <w:rPr>
          <w:rFonts w:ascii="Noto Sans" w:hAnsi="Noto Sans" w:cs="Noto Sans"/>
          <w:b/>
        </w:rPr>
        <w:t>DepV</w:t>
      </w:r>
      <w:proofErr w:type="spellEnd"/>
      <w:r w:rsidRPr="00FF738A">
        <w:rPr>
          <w:rFonts w:ascii="Noto Sans" w:hAnsi="Noto Sans" w:cs="Noto Sans"/>
          <w:b/>
        </w:rPr>
        <w:t xml:space="preserve">) </w:t>
      </w:r>
    </w:p>
    <w:p w:rsidR="00FF738A" w:rsidRDefault="00FF738A" w:rsidP="00F60C6B">
      <w:pPr>
        <w:jc w:val="both"/>
        <w:rPr>
          <w:rFonts w:ascii="Noto Sans" w:hAnsi="Noto Sans" w:cs="Noto Sans"/>
          <w:b/>
        </w:rPr>
      </w:pPr>
      <w:r w:rsidRPr="00FF738A">
        <w:rPr>
          <w:rFonts w:ascii="Noto Sans" w:hAnsi="Noto Sans" w:cs="Noto Sans"/>
          <w:b/>
        </w:rPr>
        <w:t xml:space="preserve">Hier: </w:t>
      </w:r>
      <w:r w:rsidR="007E3E70" w:rsidRPr="00FF738A">
        <w:rPr>
          <w:rFonts w:ascii="Noto Sans" w:hAnsi="Noto Sans" w:cs="Noto Sans"/>
          <w:b/>
        </w:rPr>
        <w:t>Stellungnahmen der Träger öffentlicher Belange</w:t>
      </w:r>
    </w:p>
    <w:p w:rsidR="00F60C6B" w:rsidRPr="00F60C6B" w:rsidRDefault="00F60C6B" w:rsidP="00F60C6B">
      <w:pPr>
        <w:jc w:val="both"/>
        <w:rPr>
          <w:rFonts w:ascii="Noto Sans" w:hAnsi="Noto Sans" w:cs="Noto Sans"/>
          <w:b/>
        </w:rPr>
      </w:pPr>
    </w:p>
    <w:p w:rsidR="00F60C6B" w:rsidRPr="00801362" w:rsidRDefault="00F60C6B" w:rsidP="00F60C6B">
      <w:pPr>
        <w:spacing w:after="0" w:line="240" w:lineRule="auto"/>
        <w:ind w:left="720" w:hanging="720"/>
        <w:jc w:val="both"/>
        <w:rPr>
          <w:rFonts w:ascii="Noto Sans" w:eastAsia="MS Mincho" w:hAnsi="Noto Sans" w:cs="Times New Roman"/>
          <w:b/>
          <w:szCs w:val="18"/>
          <w:lang w:eastAsia="ja-JP"/>
        </w:rPr>
      </w:pPr>
      <w:r w:rsidRPr="00801362">
        <w:rPr>
          <w:rFonts w:ascii="Noto Sans" w:eastAsia="MS Mincho" w:hAnsi="Noto Sans" w:cs="Times New Roman"/>
          <w:b/>
          <w:szCs w:val="18"/>
          <w:lang w:eastAsia="ja-JP"/>
        </w:rPr>
        <w:t>Stellungnahme der unteren Wasserbehörde</w:t>
      </w:r>
    </w:p>
    <w:p w:rsidR="00F60C6B" w:rsidRPr="00801362" w:rsidRDefault="00F60C6B" w:rsidP="00F60C6B">
      <w:pPr>
        <w:spacing w:after="0" w:line="240" w:lineRule="auto"/>
        <w:jc w:val="both"/>
        <w:rPr>
          <w:rFonts w:ascii="Noto Sans" w:eastAsia="MS Mincho" w:hAnsi="Noto Sans" w:cs="Noto Sans"/>
          <w:b/>
          <w:lang w:eastAsia="ja-JP"/>
        </w:rPr>
      </w:pPr>
    </w:p>
    <w:p w:rsidR="00F60C6B" w:rsidRPr="00801362" w:rsidRDefault="00F60C6B" w:rsidP="00F60C6B">
      <w:pPr>
        <w:spacing w:after="0" w:line="240" w:lineRule="auto"/>
        <w:jc w:val="both"/>
        <w:rPr>
          <w:rFonts w:ascii="Noto Sans" w:eastAsia="MS Mincho" w:hAnsi="Noto Sans" w:cs="Noto Sans"/>
          <w:lang w:eastAsia="ja-JP"/>
        </w:rPr>
      </w:pPr>
      <w:r w:rsidRPr="00801362">
        <w:rPr>
          <w:rFonts w:ascii="Noto Sans" w:eastAsia="MS Mincho" w:hAnsi="Noto Sans" w:cs="Noto Sans"/>
          <w:lang w:eastAsia="ja-JP"/>
        </w:rPr>
        <w:t>Der wasserrechtlichen Prüfung lagen die Antragsunterlagen vom 18.12.2023 zugrunde.</w:t>
      </w:r>
    </w:p>
    <w:p w:rsidR="00F60C6B" w:rsidRPr="00801362" w:rsidRDefault="00F60C6B" w:rsidP="00F60C6B">
      <w:pPr>
        <w:spacing w:after="0" w:line="240" w:lineRule="auto"/>
        <w:jc w:val="both"/>
        <w:rPr>
          <w:rFonts w:ascii="Noto Sans" w:eastAsia="MS Mincho" w:hAnsi="Noto Sans" w:cs="Noto Sans"/>
          <w:lang w:eastAsia="ja-JP"/>
        </w:rPr>
      </w:pPr>
    </w:p>
    <w:p w:rsidR="00F60C6B" w:rsidRPr="00801362" w:rsidRDefault="00F60C6B" w:rsidP="00F60C6B">
      <w:pPr>
        <w:spacing w:after="0" w:line="240" w:lineRule="auto"/>
        <w:jc w:val="both"/>
        <w:rPr>
          <w:rFonts w:ascii="Noto Sans" w:eastAsia="MS Mincho" w:hAnsi="Noto Sans" w:cs="Noto Sans"/>
          <w:lang w:eastAsia="ja-JP"/>
        </w:rPr>
      </w:pPr>
      <w:r w:rsidRPr="00801362">
        <w:rPr>
          <w:rFonts w:ascii="Noto Sans" w:eastAsia="MS Mincho" w:hAnsi="Noto Sans" w:cs="Noto Sans"/>
          <w:lang w:eastAsia="ja-JP"/>
        </w:rPr>
        <w:t>Mit den Antragsunterlagen wurde der Erhalt von wasserrechtlichen Erlaubnissen für die Versickerung des Sickerwassers aus der DK 0 Boden- und Bauschuttdeponie sowie der Versickerung von Oberflächenwasser in den quartären Grundwasserleiter beantragt.</w:t>
      </w:r>
      <w:bookmarkStart w:id="0" w:name="Betreff"/>
      <w:bookmarkStart w:id="1" w:name="Unterschrift"/>
      <w:bookmarkEnd w:id="0"/>
      <w:bookmarkEnd w:id="1"/>
    </w:p>
    <w:p w:rsidR="00F60C6B" w:rsidRPr="00801362" w:rsidRDefault="00F60C6B" w:rsidP="00F60C6B">
      <w:pPr>
        <w:spacing w:after="0" w:line="240" w:lineRule="auto"/>
        <w:jc w:val="both"/>
        <w:rPr>
          <w:rFonts w:ascii="Noto Sans" w:eastAsia="MS Mincho" w:hAnsi="Noto Sans" w:cs="Noto Sans"/>
          <w:lang w:eastAsia="ja-JP"/>
        </w:rPr>
      </w:pPr>
    </w:p>
    <w:p w:rsidR="00F60C6B" w:rsidRPr="00801362" w:rsidRDefault="00F60C6B" w:rsidP="00F60C6B">
      <w:pPr>
        <w:spacing w:after="0" w:line="240" w:lineRule="auto"/>
        <w:jc w:val="both"/>
        <w:rPr>
          <w:rFonts w:ascii="Noto Sans" w:eastAsia="MS Mincho" w:hAnsi="Noto Sans" w:cs="Noto Sans"/>
          <w:lang w:eastAsia="ja-JP"/>
        </w:rPr>
      </w:pPr>
      <w:r w:rsidRPr="00801362">
        <w:rPr>
          <w:rFonts w:ascii="Noto Sans" w:eastAsia="MS Mincho" w:hAnsi="Noto Sans" w:cs="Noto Sans"/>
          <w:lang w:eastAsia="ja-JP"/>
        </w:rPr>
        <w:t>Hieraus hat die untere Wasserbehörde folgende Nachforderungen zur Ergänzung, ggf. Änderung der Antragsunterlagen:</w:t>
      </w:r>
    </w:p>
    <w:p w:rsidR="00F60C6B" w:rsidRPr="00801362" w:rsidRDefault="00F60C6B" w:rsidP="00F60C6B">
      <w:pPr>
        <w:spacing w:after="0" w:line="240" w:lineRule="auto"/>
        <w:jc w:val="both"/>
        <w:rPr>
          <w:rFonts w:ascii="Noto Sans" w:eastAsia="MS Mincho" w:hAnsi="Noto Sans" w:cs="Noto Sans"/>
          <w:lang w:eastAsia="ja-JP"/>
        </w:rPr>
      </w:pPr>
    </w:p>
    <w:p w:rsidR="00F60C6B" w:rsidRPr="00801362" w:rsidRDefault="00F60C6B" w:rsidP="00F60C6B">
      <w:pPr>
        <w:numPr>
          <w:ilvl w:val="0"/>
          <w:numId w:val="3"/>
        </w:numPr>
        <w:spacing w:after="0" w:line="240" w:lineRule="auto"/>
        <w:contextualSpacing/>
        <w:jc w:val="both"/>
        <w:rPr>
          <w:rFonts w:ascii="Noto Sans" w:hAnsi="Noto Sans" w:cs="Noto Sans"/>
        </w:rPr>
      </w:pPr>
      <w:r w:rsidRPr="00801362">
        <w:rPr>
          <w:rFonts w:ascii="Noto Sans" w:hAnsi="Noto Sans" w:cs="Noto Sans"/>
        </w:rPr>
        <w:t>Es ist die Dimensionierung der geplanten Kastenrigole gemäß Arbeitsblatt DWA-A 138 vorzulegen und die daraus resultierende Versickerungsrate der Kasten-rigole in Liter je Sekunde anzugeben.</w:t>
      </w:r>
    </w:p>
    <w:p w:rsidR="00F60C6B" w:rsidRPr="00801362" w:rsidRDefault="00F60C6B" w:rsidP="00F60C6B">
      <w:pPr>
        <w:spacing w:line="240" w:lineRule="auto"/>
        <w:ind w:left="720"/>
        <w:contextualSpacing/>
        <w:jc w:val="both"/>
        <w:rPr>
          <w:rFonts w:ascii="Noto Sans" w:hAnsi="Noto Sans" w:cs="Noto Sans"/>
        </w:rPr>
      </w:pPr>
    </w:p>
    <w:p w:rsidR="00F60C6B" w:rsidRPr="00801362" w:rsidRDefault="00F60C6B" w:rsidP="00F60C6B">
      <w:pPr>
        <w:numPr>
          <w:ilvl w:val="0"/>
          <w:numId w:val="3"/>
        </w:numPr>
        <w:spacing w:after="0" w:line="240" w:lineRule="auto"/>
        <w:contextualSpacing/>
        <w:jc w:val="both"/>
        <w:rPr>
          <w:rFonts w:ascii="Noto Sans" w:hAnsi="Noto Sans" w:cs="Noto Sans"/>
        </w:rPr>
      </w:pPr>
      <w:r w:rsidRPr="00801362">
        <w:rPr>
          <w:rFonts w:ascii="Noto Sans" w:hAnsi="Noto Sans" w:cs="Noto Sans"/>
        </w:rPr>
        <w:t xml:space="preserve">Die Antragsunterlagen im Fachanlagenteil 10-2-1 „Prognose </w:t>
      </w:r>
      <w:proofErr w:type="spellStart"/>
      <w:r w:rsidRPr="00801362">
        <w:rPr>
          <w:rFonts w:ascii="Noto Sans" w:hAnsi="Noto Sans" w:cs="Noto Sans"/>
        </w:rPr>
        <w:t>Siwa</w:t>
      </w:r>
      <w:proofErr w:type="spellEnd"/>
      <w:r w:rsidRPr="00801362">
        <w:rPr>
          <w:rFonts w:ascii="Noto Sans" w:hAnsi="Noto Sans" w:cs="Noto Sans"/>
        </w:rPr>
        <w:t>-Inhaltsstoffe“ sind im Punkt 3.5 „Maßnahmenvorschläge bei Überschrei-</w:t>
      </w:r>
      <w:proofErr w:type="spellStart"/>
      <w:r w:rsidRPr="00801362">
        <w:rPr>
          <w:rFonts w:ascii="Noto Sans" w:hAnsi="Noto Sans" w:cs="Noto Sans"/>
        </w:rPr>
        <w:t>tungen</w:t>
      </w:r>
      <w:proofErr w:type="spellEnd"/>
      <w:r w:rsidRPr="00801362">
        <w:rPr>
          <w:rFonts w:ascii="Noto Sans" w:hAnsi="Noto Sans" w:cs="Noto Sans"/>
        </w:rPr>
        <w:t xml:space="preserve">“ zu überarbeiten. Es ist zu gewährleisten, dass durch technische Ausrüstungen oder Bauwerke das Nachlaufen von Sickerwasser aus dem Deponiekörper verhindert und nicht versickerungsfähiges Sickerwasser vor seiner späteren Entsorgung sofort vor Ort (z.B. im Pufferbecken) zwischengespeichert werden kann. </w:t>
      </w:r>
    </w:p>
    <w:p w:rsidR="00F60C6B" w:rsidRPr="00801362" w:rsidRDefault="00F60C6B" w:rsidP="00F60C6B">
      <w:pPr>
        <w:spacing w:line="256" w:lineRule="auto"/>
        <w:ind w:left="720"/>
        <w:contextualSpacing/>
        <w:rPr>
          <w:rFonts w:ascii="Noto Sans" w:hAnsi="Noto Sans" w:cs="Noto Sans"/>
        </w:rPr>
      </w:pPr>
      <w:r w:rsidRPr="00801362">
        <w:rPr>
          <w:rFonts w:ascii="Noto Sans" w:hAnsi="Noto Sans" w:cs="Noto Sans"/>
        </w:rPr>
        <w:t>Die wasserrechtliche Erlaubnis für die vorgesehene Versickerung im Puffer-becken kann nicht in Aussicht gestellt werden.</w:t>
      </w:r>
    </w:p>
    <w:p w:rsidR="00F60C6B" w:rsidRPr="00801362" w:rsidRDefault="00F60C6B" w:rsidP="00F60C6B">
      <w:pPr>
        <w:spacing w:line="256" w:lineRule="auto"/>
        <w:ind w:left="720"/>
        <w:contextualSpacing/>
        <w:rPr>
          <w:rFonts w:ascii="Noto Sans" w:hAnsi="Noto Sans" w:cs="Noto Sans"/>
        </w:rPr>
      </w:pPr>
    </w:p>
    <w:p w:rsidR="00F60C6B" w:rsidRPr="00801362" w:rsidRDefault="00F60C6B" w:rsidP="00F60C6B">
      <w:pPr>
        <w:spacing w:after="0" w:line="240" w:lineRule="auto"/>
        <w:jc w:val="both"/>
        <w:rPr>
          <w:rFonts w:ascii="Noto Sans" w:eastAsia="MS Mincho" w:hAnsi="Noto Sans" w:cs="Noto Sans"/>
          <w:lang w:eastAsia="ja-JP"/>
        </w:rPr>
      </w:pPr>
      <w:r w:rsidRPr="00801362">
        <w:rPr>
          <w:rFonts w:ascii="Noto Sans" w:eastAsia="MS Mincho" w:hAnsi="Noto Sans" w:cs="Noto Sans"/>
          <w:lang w:eastAsia="ja-JP"/>
        </w:rPr>
        <w:t xml:space="preserve">Hinweis (Bezug </w:t>
      </w:r>
      <w:proofErr w:type="spellStart"/>
      <w:r w:rsidRPr="00801362">
        <w:rPr>
          <w:rFonts w:ascii="Noto Sans" w:eastAsia="MS Mincho" w:hAnsi="Noto Sans" w:cs="Noto Sans"/>
          <w:lang w:eastAsia="ja-JP"/>
        </w:rPr>
        <w:t>Sickerwassermonitoring</w:t>
      </w:r>
      <w:proofErr w:type="spellEnd"/>
      <w:r w:rsidRPr="00801362">
        <w:rPr>
          <w:rFonts w:ascii="Noto Sans" w:eastAsia="MS Mincho" w:hAnsi="Noto Sans" w:cs="Noto Sans"/>
          <w:lang w:eastAsia="ja-JP"/>
        </w:rPr>
        <w:t>): Für die wasserrechtliche Erlaubnis der Versickerung des Deponiesickerwassers und des Niederschlagswassers aus der Kastenrigole in den quartären Grundwasserleiter ist die untere Wasserbörde gehalten, als Überwachungswerte die Anforderungen gemäß der Buchstaben C und D des Anhanges 51 der Abwasserverordnung (AbwV) sowie Art und Umfang der Selbstüberwachung gemäß der Anlage 2 der Verordnung über die Selbstüberwachung von Abwasseranlagen und Abwassereinleitungen des Landes Sachsen-Anhalt (SÜVO LSA) festzuschreiben.</w:t>
      </w:r>
      <w:bookmarkStart w:id="2" w:name="_GoBack"/>
      <w:bookmarkEnd w:id="2"/>
    </w:p>
    <w:p w:rsidR="00FF738A" w:rsidRPr="00FF738A" w:rsidRDefault="00FF738A" w:rsidP="00FF738A">
      <w:pPr>
        <w:spacing w:after="0" w:line="240" w:lineRule="auto"/>
        <w:contextualSpacing/>
        <w:jc w:val="both"/>
        <w:rPr>
          <w:rFonts w:ascii="Noto Sans" w:hAnsi="Noto Sans" w:cs="Noto Sans"/>
        </w:rPr>
      </w:pPr>
    </w:p>
    <w:p w:rsidR="00FF738A" w:rsidRPr="00FF738A" w:rsidRDefault="00FF738A" w:rsidP="00FF738A">
      <w:pPr>
        <w:spacing w:after="0" w:line="280" w:lineRule="exact"/>
        <w:jc w:val="both"/>
        <w:rPr>
          <w:rFonts w:ascii="Noto Sans" w:eastAsia="MS Mincho" w:hAnsi="Noto Sans" w:cs="Noto Sans"/>
          <w:sz w:val="18"/>
          <w:szCs w:val="18"/>
          <w:lang w:eastAsia="ja-JP"/>
        </w:rPr>
      </w:pPr>
    </w:p>
    <w:p w:rsidR="00801362" w:rsidRDefault="00801362" w:rsidP="00FF738A">
      <w:pPr>
        <w:spacing w:after="0" w:line="240" w:lineRule="auto"/>
        <w:jc w:val="both"/>
        <w:rPr>
          <w:rFonts w:ascii="Noto Sans" w:eastAsia="MS Mincho" w:hAnsi="Noto Sans" w:cs="Times New Roman"/>
          <w:b/>
          <w:szCs w:val="18"/>
          <w:lang w:eastAsia="ja-JP"/>
        </w:rPr>
      </w:pPr>
    </w:p>
    <w:p w:rsidR="00801362" w:rsidRDefault="00801362" w:rsidP="00FF738A">
      <w:pPr>
        <w:spacing w:after="0" w:line="240" w:lineRule="auto"/>
        <w:jc w:val="both"/>
        <w:rPr>
          <w:rFonts w:ascii="Noto Sans" w:eastAsia="MS Mincho" w:hAnsi="Noto Sans" w:cs="Times New Roman"/>
          <w:b/>
          <w:szCs w:val="18"/>
          <w:lang w:eastAsia="ja-JP"/>
        </w:rPr>
      </w:pPr>
    </w:p>
    <w:p w:rsidR="00801362" w:rsidRDefault="00801362" w:rsidP="00FF738A">
      <w:pPr>
        <w:spacing w:after="0" w:line="240" w:lineRule="auto"/>
        <w:jc w:val="both"/>
        <w:rPr>
          <w:rFonts w:ascii="Noto Sans" w:eastAsia="MS Mincho" w:hAnsi="Noto Sans" w:cs="Times New Roman"/>
          <w:b/>
          <w:szCs w:val="18"/>
          <w:lang w:eastAsia="ja-JP"/>
        </w:rPr>
      </w:pPr>
    </w:p>
    <w:p w:rsidR="00F60C6B" w:rsidRDefault="00F60C6B" w:rsidP="00FF738A">
      <w:pPr>
        <w:spacing w:after="0" w:line="240" w:lineRule="auto"/>
        <w:jc w:val="both"/>
        <w:rPr>
          <w:rFonts w:ascii="Noto Sans" w:eastAsia="MS Mincho" w:hAnsi="Noto Sans" w:cs="Times New Roman"/>
          <w:b/>
          <w:szCs w:val="18"/>
          <w:lang w:eastAsia="ja-JP"/>
        </w:rPr>
      </w:pPr>
    </w:p>
    <w:p w:rsidR="00F60C6B" w:rsidRDefault="00F60C6B" w:rsidP="00FF738A">
      <w:pPr>
        <w:spacing w:after="0" w:line="240" w:lineRule="auto"/>
        <w:jc w:val="both"/>
        <w:rPr>
          <w:rFonts w:ascii="Noto Sans" w:eastAsia="MS Mincho" w:hAnsi="Noto Sans" w:cs="Times New Roman"/>
          <w:b/>
          <w:szCs w:val="18"/>
          <w:lang w:eastAsia="ja-JP"/>
        </w:rPr>
      </w:pPr>
    </w:p>
    <w:p w:rsidR="00801362" w:rsidRPr="00801362" w:rsidRDefault="002479FE" w:rsidP="00801362">
      <w:pPr>
        <w:spacing w:after="0" w:line="240" w:lineRule="auto"/>
        <w:ind w:left="720"/>
        <w:jc w:val="both"/>
        <w:rPr>
          <w:rFonts w:ascii="Noto Sans" w:eastAsia="MS Mincho" w:hAnsi="Noto Sans" w:cs="Times New Roman"/>
          <w:b/>
          <w:szCs w:val="18"/>
          <w:lang w:eastAsia="ja-JP"/>
        </w:rPr>
      </w:pPr>
      <w:r>
        <w:rPr>
          <w:rFonts w:ascii="Noto Sans" w:eastAsia="MS Mincho" w:hAnsi="Noto Sans" w:cs="Times New Roman"/>
          <w:b/>
          <w:szCs w:val="18"/>
          <w:lang w:eastAsia="ja-JP"/>
        </w:rPr>
        <w:lastRenderedPageBreak/>
        <w:t>Stellungnahme der o</w:t>
      </w:r>
      <w:r w:rsidR="00801362" w:rsidRPr="00801362">
        <w:rPr>
          <w:rFonts w:ascii="Noto Sans" w:eastAsia="MS Mincho" w:hAnsi="Noto Sans" w:cs="Times New Roman"/>
          <w:b/>
          <w:szCs w:val="18"/>
          <w:lang w:eastAsia="ja-JP"/>
        </w:rPr>
        <w:t>beren Immissionsschutzbehörde</w:t>
      </w:r>
    </w:p>
    <w:p w:rsidR="00801362" w:rsidRPr="00801362" w:rsidRDefault="00801362" w:rsidP="00801362">
      <w:pPr>
        <w:spacing w:after="0" w:line="240" w:lineRule="auto"/>
        <w:jc w:val="both"/>
        <w:rPr>
          <w:rFonts w:ascii="Noto Sans" w:eastAsia="MS Mincho" w:hAnsi="Noto Sans" w:cs="Times New Roman"/>
          <w:szCs w:val="18"/>
          <w:lang w:eastAsia="ja-JP"/>
        </w:rPr>
      </w:pPr>
    </w:p>
    <w:p w:rsidR="00801362" w:rsidRDefault="00801362" w:rsidP="00801362">
      <w:pPr>
        <w:spacing w:after="0" w:line="240" w:lineRule="auto"/>
        <w:jc w:val="both"/>
        <w:rPr>
          <w:rFonts w:ascii="Noto Sans" w:eastAsia="MS Mincho" w:hAnsi="Noto Sans" w:cs="Times New Roman"/>
          <w:szCs w:val="18"/>
          <w:lang w:eastAsia="ja-JP"/>
        </w:rPr>
      </w:pPr>
      <w:r w:rsidRPr="00801362">
        <w:rPr>
          <w:rFonts w:ascii="Noto Sans" w:eastAsia="MS Mincho" w:hAnsi="Noto Sans" w:cs="Times New Roman"/>
          <w:szCs w:val="18"/>
          <w:lang w:eastAsia="ja-JP"/>
        </w:rPr>
        <w:t>Am Standort des Kies- und Sandtagebaus Lösau plant die Recycling plus GmbH die Errichtung und den Betrieb einer Deponie der Deponieklasse DK0 nach der Deponieverordnung (</w:t>
      </w:r>
      <w:proofErr w:type="spellStart"/>
      <w:r w:rsidRPr="00801362">
        <w:rPr>
          <w:rFonts w:ascii="Noto Sans" w:eastAsia="MS Mincho" w:hAnsi="Noto Sans" w:cs="Times New Roman"/>
          <w:szCs w:val="18"/>
          <w:lang w:eastAsia="ja-JP"/>
        </w:rPr>
        <w:t>DepV</w:t>
      </w:r>
      <w:proofErr w:type="spellEnd"/>
      <w:r w:rsidRPr="00801362">
        <w:rPr>
          <w:rFonts w:ascii="Noto Sans" w:eastAsia="MS Mincho" w:hAnsi="Noto Sans" w:cs="Times New Roman"/>
          <w:szCs w:val="18"/>
          <w:lang w:eastAsia="ja-JP"/>
        </w:rPr>
        <w:t>). Dort befindet sich auch eine Anlage zur zeitweiligen Lagerung von gefährlichen und nicht gefährlichen Abfällen, welche der 4. Verordnung zur Durchführung des Bundes - Immissionsschutzgesetzes (4. BImSchV) unterliegt. Die immissionsschutzrechtliche Zuständigkeit für die Überwachung dieser Anlage liegt beim Landesverwaltungsamt.</w:t>
      </w:r>
    </w:p>
    <w:p w:rsidR="00801362" w:rsidRPr="00801362" w:rsidRDefault="00801362" w:rsidP="00801362">
      <w:pPr>
        <w:spacing w:after="0" w:line="240" w:lineRule="auto"/>
        <w:jc w:val="both"/>
        <w:rPr>
          <w:rFonts w:ascii="Noto Sans" w:eastAsia="MS Mincho" w:hAnsi="Noto Sans" w:cs="Times New Roman"/>
          <w:szCs w:val="18"/>
          <w:lang w:eastAsia="ja-JP"/>
        </w:rPr>
      </w:pPr>
    </w:p>
    <w:p w:rsidR="00801362" w:rsidRPr="00801362" w:rsidRDefault="00801362" w:rsidP="00801362">
      <w:pPr>
        <w:spacing w:after="0" w:line="240" w:lineRule="auto"/>
        <w:jc w:val="both"/>
        <w:rPr>
          <w:rFonts w:ascii="Noto Sans" w:eastAsia="MS Mincho" w:hAnsi="Noto Sans" w:cs="Times New Roman"/>
          <w:szCs w:val="18"/>
          <w:lang w:eastAsia="ja-JP"/>
        </w:rPr>
      </w:pPr>
      <w:r w:rsidRPr="00801362">
        <w:rPr>
          <w:rFonts w:ascii="Noto Sans" w:eastAsia="MS Mincho" w:hAnsi="Noto Sans" w:cs="Times New Roman"/>
          <w:szCs w:val="18"/>
          <w:lang w:eastAsia="ja-JP"/>
        </w:rPr>
        <w:t xml:space="preserve">In Bezug auf die hier geplante Errichtung und den Betrieb einer Deponie ist aus der Sicht der Oberen Immissionsschutzbehörde darauf hinzuweisen, dass es sich bei einer Deponie um eine nicht genehmigungsbedürftige Anlage im Sinne des Bundes - Immissionsschutzgesetzes (BImSchG) handelt, für die die immissionsschutzrechtliche Zuständigkeit beim Landkreis Burgenlandkreis liegt. Die immissionsschutzrechtlichen Anforderungen an die Errichtung und den Betrieb sind daher dort zu stellen. </w:t>
      </w:r>
    </w:p>
    <w:p w:rsidR="00801362" w:rsidRDefault="00801362" w:rsidP="00801362">
      <w:pPr>
        <w:spacing w:after="0" w:line="240" w:lineRule="auto"/>
        <w:jc w:val="both"/>
        <w:rPr>
          <w:rFonts w:ascii="Noto Sans" w:eastAsia="MS Mincho" w:hAnsi="Noto Sans" w:cs="Times New Roman"/>
          <w:szCs w:val="18"/>
          <w:lang w:eastAsia="ja-JP"/>
        </w:rPr>
      </w:pPr>
      <w:r w:rsidRPr="00801362">
        <w:rPr>
          <w:rFonts w:ascii="Noto Sans" w:eastAsia="MS Mincho" w:hAnsi="Noto Sans" w:cs="Times New Roman"/>
          <w:szCs w:val="18"/>
          <w:lang w:eastAsia="ja-JP"/>
        </w:rPr>
        <w:t xml:space="preserve">In den Antragsunterlagen wird auf entsprechenden Immissionsprognosen zu Staub- und Schallimmissionen verwiesen. Nach Darstellung in den Unterlagen wird der jeweilige </w:t>
      </w:r>
      <w:proofErr w:type="spellStart"/>
      <w:r w:rsidRPr="00801362">
        <w:rPr>
          <w:rFonts w:ascii="Noto Sans" w:eastAsia="MS Mincho" w:hAnsi="Noto Sans" w:cs="Times New Roman"/>
          <w:szCs w:val="18"/>
          <w:lang w:eastAsia="ja-JP"/>
        </w:rPr>
        <w:t>Irrelevanzwert</w:t>
      </w:r>
      <w:proofErr w:type="spellEnd"/>
      <w:r w:rsidRPr="00801362">
        <w:rPr>
          <w:rFonts w:ascii="Noto Sans" w:eastAsia="MS Mincho" w:hAnsi="Noto Sans" w:cs="Times New Roman"/>
          <w:szCs w:val="18"/>
          <w:lang w:eastAsia="ja-JP"/>
        </w:rPr>
        <w:t xml:space="preserve"> für Staubniederschlag, für Schwebstaub PM 10 sowie für Schwebstaub PM 2,5 an allen maßgebenden Immissionsorten eingehalten bzw. unterschritten, sodass eine Bestimmung der Gesamtbelastung nach TA-Luft nicht erforderlich ist. Auch in Bezug auf die Schallimmissionen wird festgestellt, dass die Immissionsrichtwerte der TA - Lärm an den maßgeblichen Immissionsorten offensichtlich um mindestens 9 dB(A) unterschritten werden. Somit sind durch den Betrieb der Deponie weder durch Staub- noch durch Schallimmissionen schädliche Umwelteinwirkungen zu besorgen, was in Bezug auf den großen Abstand zur Wohnbebauung in Lösau nachvollziehbar ist.</w:t>
      </w:r>
    </w:p>
    <w:p w:rsidR="00801362" w:rsidRPr="00801362" w:rsidRDefault="00801362" w:rsidP="00801362">
      <w:pPr>
        <w:spacing w:after="0" w:line="240" w:lineRule="auto"/>
        <w:jc w:val="both"/>
        <w:rPr>
          <w:rFonts w:ascii="Noto Sans" w:eastAsia="MS Mincho" w:hAnsi="Noto Sans" w:cs="Times New Roman"/>
          <w:szCs w:val="18"/>
          <w:lang w:eastAsia="ja-JP"/>
        </w:rPr>
      </w:pPr>
    </w:p>
    <w:p w:rsidR="00801362" w:rsidRPr="00801362" w:rsidRDefault="00801362" w:rsidP="00801362">
      <w:pPr>
        <w:spacing w:after="0" w:line="240" w:lineRule="auto"/>
        <w:jc w:val="both"/>
        <w:rPr>
          <w:rFonts w:ascii="Noto Sans" w:eastAsia="MS Mincho" w:hAnsi="Noto Sans" w:cs="Times New Roman"/>
          <w:szCs w:val="18"/>
          <w:lang w:eastAsia="ja-JP"/>
        </w:rPr>
      </w:pPr>
      <w:r w:rsidRPr="00801362">
        <w:rPr>
          <w:rFonts w:ascii="Noto Sans" w:eastAsia="MS Mincho" w:hAnsi="Noto Sans" w:cs="Times New Roman"/>
          <w:szCs w:val="18"/>
          <w:lang w:eastAsia="ja-JP"/>
        </w:rPr>
        <w:t>Eine abschließende immissionsschutzrechtliche Beurteilung sowie die detaillierte Prüfung der Immissionsprognosen obliegt der zuständigen Unteren Immissionsschutzbehörde.</w:t>
      </w:r>
    </w:p>
    <w:p w:rsidR="00801362" w:rsidRDefault="00801362" w:rsidP="00FF738A">
      <w:pPr>
        <w:spacing w:after="0" w:line="240" w:lineRule="auto"/>
        <w:jc w:val="both"/>
        <w:rPr>
          <w:rFonts w:ascii="Noto Sans" w:eastAsia="MS Mincho" w:hAnsi="Noto Sans" w:cs="Times New Roman"/>
          <w:b/>
          <w:szCs w:val="18"/>
          <w:lang w:eastAsia="ja-JP"/>
        </w:rPr>
      </w:pPr>
    </w:p>
    <w:p w:rsidR="00FF738A" w:rsidRPr="00FF738A" w:rsidRDefault="00FF738A" w:rsidP="00FF738A">
      <w:pPr>
        <w:spacing w:after="0" w:line="240" w:lineRule="auto"/>
        <w:jc w:val="both"/>
        <w:rPr>
          <w:rFonts w:ascii="Noto Sans" w:eastAsia="MS Mincho" w:hAnsi="Noto Sans" w:cs="Times New Roman"/>
          <w:szCs w:val="18"/>
          <w:lang w:eastAsia="ja-JP"/>
        </w:rPr>
      </w:pPr>
      <w:r>
        <w:rPr>
          <w:rFonts w:ascii="Noto Sans" w:eastAsia="MS Mincho" w:hAnsi="Noto Sans" w:cs="Times New Roman"/>
          <w:b/>
          <w:szCs w:val="18"/>
          <w:lang w:eastAsia="ja-JP"/>
        </w:rPr>
        <w:t>Die u</w:t>
      </w:r>
      <w:r w:rsidRPr="00FF738A">
        <w:rPr>
          <w:rFonts w:ascii="Noto Sans" w:eastAsia="MS Mincho" w:hAnsi="Noto Sans" w:cs="Times New Roman"/>
          <w:b/>
          <w:szCs w:val="18"/>
          <w:lang w:eastAsia="ja-JP"/>
        </w:rPr>
        <w:t>ntere Immissionsschutzbehörde</w:t>
      </w:r>
      <w:r w:rsidRPr="00FF738A">
        <w:rPr>
          <w:rFonts w:ascii="Noto Sans" w:eastAsia="MS Mincho" w:hAnsi="Noto Sans" w:cs="Times New Roman"/>
          <w:szCs w:val="18"/>
          <w:lang w:eastAsia="ja-JP"/>
        </w:rPr>
        <w:t xml:space="preserve"> nimmt wie folgt die Stellung:</w:t>
      </w:r>
    </w:p>
    <w:p w:rsidR="00FF738A" w:rsidRPr="00FF738A" w:rsidRDefault="00FF738A" w:rsidP="00FF738A">
      <w:pPr>
        <w:spacing w:after="0" w:line="240" w:lineRule="auto"/>
        <w:ind w:left="720"/>
        <w:jc w:val="both"/>
        <w:rPr>
          <w:rFonts w:ascii="Noto Sans" w:eastAsia="MS Mincho" w:hAnsi="Noto Sans" w:cs="Times New Roman"/>
          <w:szCs w:val="18"/>
          <w:lang w:eastAsia="ja-JP"/>
        </w:rPr>
      </w:pPr>
    </w:p>
    <w:p w:rsidR="00FF738A" w:rsidRPr="00FF738A" w:rsidRDefault="00FF738A" w:rsidP="00FF738A">
      <w:pPr>
        <w:spacing w:after="0" w:line="240" w:lineRule="auto"/>
        <w:ind w:firstLine="720"/>
        <w:jc w:val="both"/>
        <w:rPr>
          <w:rFonts w:ascii="Noto Sans" w:eastAsia="MS Mincho" w:hAnsi="Noto Sans" w:cs="Times New Roman"/>
          <w:szCs w:val="18"/>
          <w:lang w:eastAsia="ja-JP"/>
        </w:rPr>
      </w:pPr>
      <w:r w:rsidRPr="00FF738A">
        <w:rPr>
          <w:rFonts w:ascii="Noto Sans" w:eastAsia="MS Mincho" w:hAnsi="Noto Sans" w:cs="Times New Roman"/>
          <w:szCs w:val="18"/>
          <w:lang w:eastAsia="ja-JP"/>
        </w:rPr>
        <w:t xml:space="preserve">Vollständigkeit </w:t>
      </w:r>
    </w:p>
    <w:p w:rsidR="00FF738A" w:rsidRPr="00FF738A" w:rsidRDefault="00FF738A" w:rsidP="00FF738A">
      <w:pPr>
        <w:spacing w:after="0" w:line="240" w:lineRule="auto"/>
        <w:ind w:left="720"/>
        <w:jc w:val="both"/>
        <w:rPr>
          <w:rFonts w:ascii="Noto Sans" w:eastAsia="MS Mincho" w:hAnsi="Noto Sans" w:cs="Times New Roman"/>
          <w:szCs w:val="18"/>
          <w:lang w:eastAsia="ja-JP"/>
        </w:rPr>
      </w:pPr>
    </w:p>
    <w:p w:rsidR="00FF738A" w:rsidRPr="00FF738A" w:rsidRDefault="00FF738A" w:rsidP="00FF738A">
      <w:pPr>
        <w:spacing w:after="0" w:line="240" w:lineRule="auto"/>
        <w:jc w:val="both"/>
        <w:rPr>
          <w:rFonts w:ascii="Noto Sans" w:eastAsia="MS Mincho" w:hAnsi="Noto Sans" w:cs="Times New Roman"/>
          <w:szCs w:val="18"/>
          <w:lang w:eastAsia="ja-JP"/>
        </w:rPr>
      </w:pPr>
      <w:r w:rsidRPr="00FF738A">
        <w:rPr>
          <w:rFonts w:ascii="Noto Sans" w:eastAsia="MS Mincho" w:hAnsi="Noto Sans" w:cs="Times New Roman"/>
          <w:szCs w:val="18"/>
          <w:lang w:eastAsia="ja-JP"/>
        </w:rPr>
        <w:t xml:space="preserve">Die Antragsunterlagen sind für die immissionsschutzrechtlichen Belange vollständig. </w:t>
      </w:r>
    </w:p>
    <w:p w:rsidR="00FF738A" w:rsidRPr="00FF738A" w:rsidRDefault="00FF738A" w:rsidP="00FF738A">
      <w:pPr>
        <w:spacing w:after="0" w:line="240" w:lineRule="auto"/>
        <w:ind w:left="720"/>
        <w:jc w:val="both"/>
        <w:rPr>
          <w:rFonts w:ascii="Noto Sans" w:eastAsia="MS Mincho" w:hAnsi="Noto Sans" w:cs="Times New Roman"/>
          <w:szCs w:val="18"/>
          <w:lang w:eastAsia="ja-JP"/>
        </w:rPr>
      </w:pPr>
    </w:p>
    <w:p w:rsidR="00FF738A" w:rsidRPr="00FF738A" w:rsidRDefault="00FF738A" w:rsidP="00FF738A">
      <w:pPr>
        <w:spacing w:after="0" w:line="240" w:lineRule="auto"/>
        <w:ind w:left="720"/>
        <w:jc w:val="both"/>
        <w:rPr>
          <w:rFonts w:ascii="Noto Sans" w:eastAsia="MS Mincho" w:hAnsi="Noto Sans" w:cs="Times New Roman"/>
          <w:szCs w:val="18"/>
          <w:lang w:eastAsia="ja-JP"/>
        </w:rPr>
      </w:pPr>
      <w:r w:rsidRPr="00FF738A">
        <w:rPr>
          <w:rFonts w:ascii="Noto Sans" w:eastAsia="MS Mincho" w:hAnsi="Noto Sans" w:cs="Times New Roman"/>
          <w:szCs w:val="18"/>
          <w:lang w:eastAsia="ja-JP"/>
        </w:rPr>
        <w:t>Stellungnahme</w:t>
      </w:r>
    </w:p>
    <w:p w:rsidR="00FF738A" w:rsidRPr="00FF738A" w:rsidRDefault="00FF738A" w:rsidP="00FF738A">
      <w:pPr>
        <w:spacing w:after="0" w:line="240" w:lineRule="auto"/>
        <w:ind w:left="720"/>
        <w:jc w:val="both"/>
        <w:rPr>
          <w:rFonts w:ascii="Noto Sans" w:eastAsia="MS Mincho" w:hAnsi="Noto Sans" w:cs="Times New Roman"/>
          <w:szCs w:val="18"/>
          <w:lang w:eastAsia="ja-JP"/>
        </w:rPr>
      </w:pPr>
    </w:p>
    <w:p w:rsidR="00FF738A" w:rsidRPr="00FF738A" w:rsidRDefault="00FF738A" w:rsidP="00FF738A">
      <w:pPr>
        <w:spacing w:after="0" w:line="240" w:lineRule="auto"/>
        <w:jc w:val="both"/>
        <w:rPr>
          <w:rFonts w:ascii="Noto Sans" w:eastAsia="MS Mincho" w:hAnsi="Noto Sans" w:cs="Times New Roman"/>
          <w:szCs w:val="18"/>
          <w:lang w:eastAsia="ja-JP"/>
        </w:rPr>
      </w:pPr>
      <w:r w:rsidRPr="00FF738A">
        <w:rPr>
          <w:rFonts w:ascii="Noto Sans" w:eastAsia="MS Mincho" w:hAnsi="Noto Sans" w:cs="Times New Roman"/>
          <w:szCs w:val="18"/>
          <w:lang w:eastAsia="ja-JP"/>
        </w:rPr>
        <w:t xml:space="preserve">Es bestehen keine Einwände gegen das Vorhaben der Firma </w:t>
      </w:r>
      <w:proofErr w:type="spellStart"/>
      <w:r w:rsidRPr="00FF738A">
        <w:rPr>
          <w:rFonts w:ascii="Noto Sans" w:eastAsia="MS Mincho" w:hAnsi="Noto Sans" w:cs="Times New Roman"/>
          <w:szCs w:val="18"/>
          <w:lang w:eastAsia="ja-JP"/>
        </w:rPr>
        <w:t>recycling</w:t>
      </w:r>
      <w:proofErr w:type="spellEnd"/>
      <w:r w:rsidRPr="00FF738A">
        <w:rPr>
          <w:rFonts w:ascii="Noto Sans" w:eastAsia="MS Mincho" w:hAnsi="Noto Sans" w:cs="Times New Roman"/>
          <w:szCs w:val="18"/>
          <w:lang w:eastAsia="ja-JP"/>
        </w:rPr>
        <w:t xml:space="preserve"> plus GmbH zur Errichtung und zum Betrieb einer DK 0 Boden- und Bauschuttdeponie auf dem Gelände des Kies- und Sand-tagebaus Lösau gemäß 35 Abs. 2 Kreislaufwirtschaftsgesetz (KrWG) und 19 Abs. 1 </w:t>
      </w:r>
      <w:proofErr w:type="spellStart"/>
      <w:r w:rsidRPr="00FF738A">
        <w:rPr>
          <w:rFonts w:ascii="Noto Sans" w:eastAsia="MS Mincho" w:hAnsi="Noto Sans" w:cs="Times New Roman"/>
          <w:szCs w:val="18"/>
          <w:lang w:eastAsia="ja-JP"/>
        </w:rPr>
        <w:t>Deponieverord-nung</w:t>
      </w:r>
      <w:proofErr w:type="spellEnd"/>
      <w:r w:rsidRPr="00FF738A">
        <w:rPr>
          <w:rFonts w:ascii="Noto Sans" w:eastAsia="MS Mincho" w:hAnsi="Noto Sans" w:cs="Times New Roman"/>
          <w:szCs w:val="18"/>
          <w:lang w:eastAsia="ja-JP"/>
        </w:rPr>
        <w:t xml:space="preserve"> (</w:t>
      </w:r>
      <w:proofErr w:type="spellStart"/>
      <w:r w:rsidRPr="00FF738A">
        <w:rPr>
          <w:rFonts w:ascii="Noto Sans" w:eastAsia="MS Mincho" w:hAnsi="Noto Sans" w:cs="Times New Roman"/>
          <w:szCs w:val="18"/>
          <w:lang w:eastAsia="ja-JP"/>
        </w:rPr>
        <w:t>DepV</w:t>
      </w:r>
      <w:proofErr w:type="spellEnd"/>
      <w:r w:rsidRPr="00FF738A">
        <w:rPr>
          <w:rFonts w:ascii="Noto Sans" w:eastAsia="MS Mincho" w:hAnsi="Noto Sans" w:cs="Times New Roman"/>
          <w:szCs w:val="18"/>
          <w:lang w:eastAsia="ja-JP"/>
        </w:rPr>
        <w:t>)</w:t>
      </w:r>
    </w:p>
    <w:p w:rsidR="00FF738A" w:rsidRPr="00FF738A" w:rsidRDefault="00FF738A" w:rsidP="00FF738A">
      <w:pPr>
        <w:spacing w:after="0" w:line="240" w:lineRule="auto"/>
        <w:jc w:val="both"/>
        <w:rPr>
          <w:rFonts w:ascii="Noto Sans" w:eastAsia="MS Mincho" w:hAnsi="Noto Sans" w:cs="Times New Roman"/>
          <w:szCs w:val="18"/>
          <w:lang w:eastAsia="ja-JP"/>
        </w:rPr>
      </w:pPr>
      <w:r w:rsidRPr="00FF738A">
        <w:rPr>
          <w:rFonts w:ascii="Noto Sans" w:eastAsia="MS Mincho" w:hAnsi="Noto Sans" w:cs="Times New Roman"/>
          <w:szCs w:val="18"/>
          <w:lang w:eastAsia="ja-JP"/>
        </w:rPr>
        <w:t xml:space="preserve">auf dem Vorhabenstandort Gemarkung </w:t>
      </w:r>
      <w:proofErr w:type="spellStart"/>
      <w:r w:rsidRPr="00FF738A">
        <w:rPr>
          <w:rFonts w:ascii="Noto Sans" w:eastAsia="MS Mincho" w:hAnsi="Noto Sans" w:cs="Times New Roman"/>
          <w:szCs w:val="18"/>
          <w:lang w:eastAsia="ja-JP"/>
        </w:rPr>
        <w:t>Dehlitz</w:t>
      </w:r>
      <w:proofErr w:type="spellEnd"/>
      <w:r w:rsidRPr="00FF738A">
        <w:rPr>
          <w:rFonts w:ascii="Noto Sans" w:eastAsia="MS Mincho" w:hAnsi="Noto Sans" w:cs="Times New Roman"/>
          <w:szCs w:val="18"/>
          <w:lang w:eastAsia="ja-JP"/>
        </w:rPr>
        <w:t>, Flur 8, Flurstück 55/2, 56, 58/1, 137/55, 142, 144, 259.</w:t>
      </w:r>
    </w:p>
    <w:p w:rsidR="00FF738A" w:rsidRPr="00FF738A" w:rsidRDefault="00FF738A" w:rsidP="00FF738A">
      <w:pPr>
        <w:spacing w:after="0" w:line="240" w:lineRule="auto"/>
        <w:ind w:left="720"/>
        <w:jc w:val="both"/>
        <w:rPr>
          <w:rFonts w:ascii="Noto Sans" w:eastAsia="MS Mincho" w:hAnsi="Noto Sans" w:cs="Times New Roman"/>
          <w:szCs w:val="18"/>
          <w:lang w:eastAsia="ja-JP"/>
        </w:rPr>
      </w:pPr>
    </w:p>
    <w:p w:rsidR="00F60C6B" w:rsidRDefault="00F60C6B" w:rsidP="00FF738A">
      <w:pPr>
        <w:spacing w:after="0" w:line="240" w:lineRule="auto"/>
        <w:ind w:left="720" w:hanging="720"/>
        <w:jc w:val="both"/>
        <w:rPr>
          <w:rFonts w:ascii="Noto Sans" w:eastAsia="MS Mincho" w:hAnsi="Noto Sans" w:cs="Times New Roman"/>
          <w:szCs w:val="18"/>
          <w:lang w:eastAsia="ja-JP"/>
        </w:rPr>
      </w:pPr>
    </w:p>
    <w:p w:rsidR="00FF738A" w:rsidRPr="00FF738A" w:rsidRDefault="00FF738A" w:rsidP="00FF738A">
      <w:pPr>
        <w:spacing w:after="0" w:line="240" w:lineRule="auto"/>
        <w:ind w:left="720" w:hanging="720"/>
        <w:jc w:val="both"/>
        <w:rPr>
          <w:rFonts w:ascii="Noto Sans" w:eastAsia="MS Mincho" w:hAnsi="Noto Sans" w:cs="Times New Roman"/>
          <w:szCs w:val="18"/>
          <w:lang w:eastAsia="ja-JP"/>
        </w:rPr>
      </w:pPr>
      <w:r w:rsidRPr="00FF738A">
        <w:rPr>
          <w:rFonts w:ascii="Noto Sans" w:eastAsia="MS Mincho" w:hAnsi="Noto Sans" w:cs="Times New Roman"/>
          <w:szCs w:val="18"/>
          <w:lang w:eastAsia="ja-JP"/>
        </w:rPr>
        <w:lastRenderedPageBreak/>
        <w:t xml:space="preserve">Begründung: </w:t>
      </w:r>
    </w:p>
    <w:p w:rsidR="00F60C6B" w:rsidRDefault="00F60C6B" w:rsidP="00FF738A">
      <w:pPr>
        <w:spacing w:after="0" w:line="240" w:lineRule="auto"/>
        <w:jc w:val="both"/>
        <w:rPr>
          <w:rFonts w:ascii="Noto Sans" w:eastAsia="MS Mincho" w:hAnsi="Noto Sans" w:cs="Times New Roman"/>
          <w:szCs w:val="18"/>
          <w:lang w:eastAsia="ja-JP"/>
        </w:rPr>
      </w:pPr>
    </w:p>
    <w:p w:rsidR="00FF738A" w:rsidRPr="00FF738A" w:rsidRDefault="00FF738A" w:rsidP="00FF738A">
      <w:pPr>
        <w:spacing w:after="0" w:line="240" w:lineRule="auto"/>
        <w:jc w:val="both"/>
        <w:rPr>
          <w:rFonts w:ascii="Noto Sans" w:eastAsia="MS Mincho" w:hAnsi="Noto Sans" w:cs="Times New Roman"/>
          <w:szCs w:val="18"/>
          <w:lang w:eastAsia="ja-JP"/>
        </w:rPr>
      </w:pPr>
      <w:r w:rsidRPr="00FF738A">
        <w:rPr>
          <w:rFonts w:ascii="Noto Sans" w:eastAsia="MS Mincho" w:hAnsi="Noto Sans" w:cs="Times New Roman"/>
          <w:szCs w:val="18"/>
          <w:lang w:eastAsia="ja-JP"/>
        </w:rPr>
        <w:t xml:space="preserve">Aus den Antragsunterlagen ergibt sich, dass schädliche Umwelteinwirkungen und sonstige Gefahren, erhebliche Nachteile und erhebliche Belästigungen für die Allgemeinheit und die Nachbarschaft nicht hervorgerufen werden können und ausreichend Vorsorge dagegen getroffen wird (§ 5 Abs. 1 Nr. 1 und 2 BImSchG). </w:t>
      </w:r>
    </w:p>
    <w:p w:rsidR="00FF738A" w:rsidRPr="00FF738A" w:rsidRDefault="00FF738A" w:rsidP="00FF738A">
      <w:pPr>
        <w:spacing w:after="0" w:line="240" w:lineRule="auto"/>
        <w:ind w:left="720"/>
        <w:jc w:val="both"/>
        <w:rPr>
          <w:rFonts w:ascii="Noto Sans" w:eastAsia="MS Mincho" w:hAnsi="Noto Sans" w:cs="Times New Roman"/>
          <w:szCs w:val="18"/>
          <w:lang w:eastAsia="ja-JP"/>
        </w:rPr>
      </w:pPr>
    </w:p>
    <w:p w:rsidR="00FF738A" w:rsidRPr="00FF738A" w:rsidRDefault="00FF738A" w:rsidP="00FF738A">
      <w:pPr>
        <w:spacing w:after="0" w:line="240" w:lineRule="auto"/>
        <w:ind w:left="720" w:hanging="720"/>
        <w:jc w:val="both"/>
        <w:rPr>
          <w:rFonts w:ascii="Noto Sans" w:eastAsia="MS Mincho" w:hAnsi="Noto Sans" w:cs="Times New Roman"/>
          <w:szCs w:val="18"/>
          <w:lang w:eastAsia="ja-JP"/>
        </w:rPr>
      </w:pPr>
      <w:r w:rsidRPr="00FF738A">
        <w:rPr>
          <w:rFonts w:ascii="Noto Sans" w:eastAsia="MS Mincho" w:hAnsi="Noto Sans" w:cs="Times New Roman"/>
          <w:szCs w:val="18"/>
          <w:lang w:eastAsia="ja-JP"/>
        </w:rPr>
        <w:t xml:space="preserve">Die nächste Ortslage ist Lösau mehr als 1 km nördlich entfernt. also kaum betroffen. </w:t>
      </w:r>
    </w:p>
    <w:p w:rsidR="00FF738A" w:rsidRPr="00FF738A" w:rsidRDefault="00FF738A" w:rsidP="00FF738A">
      <w:pPr>
        <w:spacing w:after="0" w:line="240" w:lineRule="auto"/>
        <w:ind w:left="720"/>
        <w:jc w:val="both"/>
        <w:rPr>
          <w:rFonts w:ascii="Noto Sans" w:eastAsia="MS Mincho" w:hAnsi="Noto Sans" w:cs="Times New Roman"/>
          <w:szCs w:val="18"/>
          <w:lang w:eastAsia="ja-JP"/>
        </w:rPr>
      </w:pPr>
    </w:p>
    <w:p w:rsidR="00FF738A" w:rsidRPr="00FF738A" w:rsidRDefault="00FF738A" w:rsidP="00801362">
      <w:pPr>
        <w:spacing w:after="0" w:line="240" w:lineRule="auto"/>
        <w:jc w:val="both"/>
        <w:rPr>
          <w:rFonts w:ascii="Noto Sans" w:eastAsia="MS Mincho" w:hAnsi="Noto Sans" w:cs="Times New Roman"/>
          <w:szCs w:val="18"/>
          <w:lang w:eastAsia="ja-JP"/>
        </w:rPr>
      </w:pPr>
      <w:r w:rsidRPr="00FF738A">
        <w:rPr>
          <w:rFonts w:ascii="Noto Sans" w:eastAsia="MS Mincho" w:hAnsi="Noto Sans" w:cs="Times New Roman"/>
          <w:szCs w:val="18"/>
          <w:lang w:eastAsia="ja-JP"/>
        </w:rPr>
        <w:t>Staubimissionen sind nicht relevant, die Irrelevanzwerte für Staubniederschlag, für Schwebstaub PM10 und PM2,5 werden an allen maßgebenden Beurteilungspunkten eingehalten bzw. unterschritten, so dass eine Bestimmung der Gesamtbelastung nach TA Luft nicht notwendig ist. Es ist auch davon auszugehen, dass auch der Immissionstageswert für Schwebstaub PM10 sicher eingehalten wird.</w:t>
      </w:r>
    </w:p>
    <w:p w:rsidR="00FF738A" w:rsidRPr="00FF738A" w:rsidRDefault="00FF738A" w:rsidP="00FF738A">
      <w:pPr>
        <w:spacing w:after="0" w:line="240" w:lineRule="auto"/>
        <w:ind w:left="720"/>
        <w:jc w:val="both"/>
        <w:rPr>
          <w:rFonts w:ascii="Noto Sans" w:eastAsia="MS Mincho" w:hAnsi="Noto Sans" w:cs="Times New Roman"/>
          <w:szCs w:val="18"/>
          <w:lang w:eastAsia="ja-JP"/>
        </w:rPr>
      </w:pPr>
    </w:p>
    <w:p w:rsidR="00FF738A" w:rsidRPr="00FF738A" w:rsidRDefault="00FF738A" w:rsidP="00801362">
      <w:pPr>
        <w:spacing w:after="0" w:line="240" w:lineRule="auto"/>
        <w:jc w:val="both"/>
        <w:rPr>
          <w:rFonts w:ascii="Noto Sans" w:eastAsia="MS Mincho" w:hAnsi="Noto Sans" w:cs="Times New Roman"/>
          <w:szCs w:val="18"/>
          <w:lang w:eastAsia="ja-JP"/>
        </w:rPr>
      </w:pPr>
      <w:r w:rsidRPr="00FF738A">
        <w:rPr>
          <w:rFonts w:ascii="Noto Sans" w:eastAsia="MS Mincho" w:hAnsi="Noto Sans" w:cs="Times New Roman"/>
          <w:szCs w:val="18"/>
          <w:lang w:eastAsia="ja-JP"/>
        </w:rPr>
        <w:t xml:space="preserve">Die Geräuschimmissionsprognose des Ing-büros Ulbricht aus Mittweida vom 07.12.2023 weist nach, dass die Immissionsrichtwerte </w:t>
      </w:r>
      <w:r w:rsidR="00BC3093" w:rsidRPr="00FF738A">
        <w:rPr>
          <w:rFonts w:ascii="Noto Sans" w:eastAsia="MS Mincho" w:hAnsi="Noto Sans" w:cs="Times New Roman"/>
          <w:szCs w:val="18"/>
          <w:lang w:eastAsia="ja-JP"/>
        </w:rPr>
        <w:t>Tags</w:t>
      </w:r>
      <w:r w:rsidRPr="00FF738A">
        <w:rPr>
          <w:rFonts w:ascii="Noto Sans" w:eastAsia="MS Mincho" w:hAnsi="Noto Sans" w:cs="Times New Roman"/>
          <w:szCs w:val="18"/>
          <w:lang w:eastAsia="ja-JP"/>
        </w:rPr>
        <w:t xml:space="preserve"> an den maßgebenden sechs betrachteten Immissions-orten um mind. 9 dB(A) unterschritten wird. Die Bewertung der Vor- und der Gesamtbelastung kann für alle Immissionsorte entfallen. Es werden keine kurzzeitigen Geräuschspitzen </w:t>
      </w:r>
      <w:r w:rsidR="00BC3093" w:rsidRPr="00FF738A">
        <w:rPr>
          <w:rFonts w:ascii="Noto Sans" w:eastAsia="MS Mincho" w:hAnsi="Noto Sans" w:cs="Times New Roman"/>
          <w:szCs w:val="18"/>
          <w:lang w:eastAsia="ja-JP"/>
        </w:rPr>
        <w:t>Tags</w:t>
      </w:r>
      <w:r w:rsidRPr="00FF738A">
        <w:rPr>
          <w:rFonts w:ascii="Noto Sans" w:eastAsia="MS Mincho" w:hAnsi="Noto Sans" w:cs="Times New Roman"/>
          <w:szCs w:val="18"/>
          <w:lang w:eastAsia="ja-JP"/>
        </w:rPr>
        <w:t xml:space="preserve"> um mehr als 30 dB(A) über den Immissionsrichtwerten erreicht. Es kann davon ausgegangen werden, dass es an den nächsten Immissionsorten durch den Betrieb der Deponie nicht zu schädlichen Umwelteinwirkungen durch Geräusche kommen wird.    </w:t>
      </w:r>
    </w:p>
    <w:p w:rsidR="00FF738A" w:rsidRPr="00FF738A" w:rsidRDefault="00FF738A" w:rsidP="00FF738A">
      <w:pPr>
        <w:spacing w:after="0" w:line="240" w:lineRule="auto"/>
        <w:ind w:left="720"/>
        <w:jc w:val="both"/>
        <w:rPr>
          <w:rFonts w:ascii="Noto Sans" w:eastAsia="MS Mincho" w:hAnsi="Noto Sans" w:cs="Times New Roman"/>
          <w:szCs w:val="18"/>
          <w:lang w:eastAsia="ja-JP"/>
        </w:rPr>
      </w:pPr>
    </w:p>
    <w:p w:rsidR="00FF738A" w:rsidRPr="00FF738A" w:rsidRDefault="00FF738A" w:rsidP="00801362">
      <w:pPr>
        <w:spacing w:after="0" w:line="240" w:lineRule="auto"/>
        <w:jc w:val="both"/>
        <w:rPr>
          <w:rFonts w:ascii="Noto Sans" w:eastAsia="MS Mincho" w:hAnsi="Noto Sans" w:cs="Times New Roman"/>
          <w:szCs w:val="18"/>
          <w:lang w:eastAsia="ja-JP"/>
        </w:rPr>
      </w:pPr>
      <w:r w:rsidRPr="00FF738A">
        <w:rPr>
          <w:rFonts w:ascii="Noto Sans" w:eastAsia="MS Mincho" w:hAnsi="Noto Sans" w:cs="Times New Roman"/>
          <w:szCs w:val="18"/>
          <w:lang w:eastAsia="ja-JP"/>
        </w:rPr>
        <w:t>Die Gesamtbewertung der durchgeführten UVP ergibt, dass die durchgeführten Immissionsprognosen zu Lärm und Staub zeigen, dass Immissionsricht- bzw. –</w:t>
      </w:r>
      <w:proofErr w:type="spellStart"/>
      <w:r w:rsidRPr="00FF738A">
        <w:rPr>
          <w:rFonts w:ascii="Noto Sans" w:eastAsia="MS Mincho" w:hAnsi="Noto Sans" w:cs="Times New Roman"/>
          <w:szCs w:val="18"/>
          <w:lang w:eastAsia="ja-JP"/>
        </w:rPr>
        <w:t>grenzwerte</w:t>
      </w:r>
      <w:proofErr w:type="spellEnd"/>
      <w:r w:rsidRPr="00FF738A">
        <w:rPr>
          <w:rFonts w:ascii="Noto Sans" w:eastAsia="MS Mincho" w:hAnsi="Noto Sans" w:cs="Times New Roman"/>
          <w:szCs w:val="18"/>
          <w:lang w:eastAsia="ja-JP"/>
        </w:rPr>
        <w:t xml:space="preserve"> eingehalten werden. Bezüglich Lärm- oder Staubbelastungen entstehen daher keine Konflikte.  </w:t>
      </w: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801362" w:rsidRDefault="00801362" w:rsidP="00801362">
      <w:pPr>
        <w:spacing w:after="0" w:line="240" w:lineRule="auto"/>
        <w:jc w:val="both"/>
        <w:rPr>
          <w:rFonts w:cs="Noto Sans"/>
        </w:rPr>
      </w:pPr>
    </w:p>
    <w:p w:rsidR="00FF738A" w:rsidRPr="007E3E70" w:rsidRDefault="00FF738A" w:rsidP="007E3E70">
      <w:pPr>
        <w:jc w:val="both"/>
        <w:rPr>
          <w:b/>
          <w:sz w:val="24"/>
          <w:szCs w:val="24"/>
        </w:rPr>
      </w:pPr>
    </w:p>
    <w:sectPr w:rsidR="00FF738A" w:rsidRPr="007E3E7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ED" w:rsidRDefault="00122AED" w:rsidP="00801362">
      <w:pPr>
        <w:spacing w:after="0" w:line="240" w:lineRule="auto"/>
      </w:pPr>
      <w:r>
        <w:separator/>
      </w:r>
    </w:p>
  </w:endnote>
  <w:endnote w:type="continuationSeparator" w:id="0">
    <w:p w:rsidR="00122AED" w:rsidRDefault="00122AED" w:rsidP="0080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Noto Sans">
    <w:panose1 w:val="020B0502040504020204"/>
    <w:charset w:val="00"/>
    <w:family w:val="swiss"/>
    <w:pitch w:val="variable"/>
    <w:sig w:usb0="E00082FF" w:usb1="400078FF" w:usb2="0000002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903382"/>
      <w:docPartObj>
        <w:docPartGallery w:val="Page Numbers (Bottom of Page)"/>
        <w:docPartUnique/>
      </w:docPartObj>
    </w:sdtPr>
    <w:sdtContent>
      <w:p w:rsidR="0035320E" w:rsidRDefault="0035320E">
        <w:pPr>
          <w:pStyle w:val="Fuzeile"/>
          <w:jc w:val="right"/>
        </w:pPr>
        <w:r>
          <w:fldChar w:fldCharType="begin"/>
        </w:r>
        <w:r>
          <w:instrText>PAGE   \* MERGEFORMAT</w:instrText>
        </w:r>
        <w:r>
          <w:fldChar w:fldCharType="separate"/>
        </w:r>
        <w:r>
          <w:rPr>
            <w:noProof/>
          </w:rPr>
          <w:t>1</w:t>
        </w:r>
        <w:r>
          <w:fldChar w:fldCharType="end"/>
        </w:r>
      </w:p>
    </w:sdtContent>
  </w:sdt>
  <w:p w:rsidR="00801362" w:rsidRDefault="008013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ED" w:rsidRDefault="00122AED" w:rsidP="00801362">
      <w:pPr>
        <w:spacing w:after="0" w:line="240" w:lineRule="auto"/>
      </w:pPr>
      <w:r>
        <w:separator/>
      </w:r>
    </w:p>
  </w:footnote>
  <w:footnote w:type="continuationSeparator" w:id="0">
    <w:p w:rsidR="00122AED" w:rsidRDefault="00122AED" w:rsidP="00801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362" w:rsidRDefault="00801362" w:rsidP="00801362">
    <w:pPr>
      <w:pStyle w:val="Kopfzeile"/>
      <w:jc w:val="center"/>
    </w:pPr>
  </w:p>
  <w:p w:rsidR="00801362" w:rsidRDefault="008013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909EC"/>
    <w:multiLevelType w:val="hybridMultilevel"/>
    <w:tmpl w:val="12CEAA34"/>
    <w:lvl w:ilvl="0" w:tplc="0407000F">
      <w:start w:val="1"/>
      <w:numFmt w:val="decimal"/>
      <w:lvlText w:val="%1."/>
      <w:lvlJc w:val="left"/>
      <w:pPr>
        <w:ind w:left="1080" w:hanging="360"/>
      </w:pPr>
    </w:lvl>
    <w:lvl w:ilvl="1" w:tplc="04070019">
      <w:start w:val="1"/>
      <w:numFmt w:val="lowerLetter"/>
      <w:lvlText w:val="%2."/>
      <w:lvlJc w:val="left"/>
      <w:pPr>
        <w:ind w:left="1876" w:hanging="360"/>
      </w:pPr>
    </w:lvl>
    <w:lvl w:ilvl="2" w:tplc="0407001B">
      <w:start w:val="1"/>
      <w:numFmt w:val="lowerRoman"/>
      <w:lvlText w:val="%3."/>
      <w:lvlJc w:val="right"/>
      <w:pPr>
        <w:ind w:left="2596" w:hanging="180"/>
      </w:pPr>
    </w:lvl>
    <w:lvl w:ilvl="3" w:tplc="0407000F">
      <w:start w:val="1"/>
      <w:numFmt w:val="decimal"/>
      <w:lvlText w:val="%4."/>
      <w:lvlJc w:val="left"/>
      <w:pPr>
        <w:ind w:left="3316" w:hanging="360"/>
      </w:pPr>
    </w:lvl>
    <w:lvl w:ilvl="4" w:tplc="04070019">
      <w:start w:val="1"/>
      <w:numFmt w:val="lowerLetter"/>
      <w:lvlText w:val="%5."/>
      <w:lvlJc w:val="left"/>
      <w:pPr>
        <w:ind w:left="4036" w:hanging="360"/>
      </w:pPr>
    </w:lvl>
    <w:lvl w:ilvl="5" w:tplc="0407001B">
      <w:start w:val="1"/>
      <w:numFmt w:val="lowerRoman"/>
      <w:lvlText w:val="%6."/>
      <w:lvlJc w:val="right"/>
      <w:pPr>
        <w:ind w:left="4756" w:hanging="180"/>
      </w:pPr>
    </w:lvl>
    <w:lvl w:ilvl="6" w:tplc="0407000F">
      <w:start w:val="1"/>
      <w:numFmt w:val="decimal"/>
      <w:lvlText w:val="%7."/>
      <w:lvlJc w:val="left"/>
      <w:pPr>
        <w:ind w:left="5476" w:hanging="360"/>
      </w:pPr>
    </w:lvl>
    <w:lvl w:ilvl="7" w:tplc="04070019">
      <w:start w:val="1"/>
      <w:numFmt w:val="lowerLetter"/>
      <w:lvlText w:val="%8."/>
      <w:lvlJc w:val="left"/>
      <w:pPr>
        <w:ind w:left="6196" w:hanging="360"/>
      </w:pPr>
    </w:lvl>
    <w:lvl w:ilvl="8" w:tplc="0407001B">
      <w:start w:val="1"/>
      <w:numFmt w:val="lowerRoman"/>
      <w:lvlText w:val="%9."/>
      <w:lvlJc w:val="right"/>
      <w:pPr>
        <w:ind w:left="6916" w:hanging="180"/>
      </w:pPr>
    </w:lvl>
  </w:abstractNum>
  <w:abstractNum w:abstractNumId="1" w15:restartNumberingAfterBreak="0">
    <w:nsid w:val="6E2D797A"/>
    <w:multiLevelType w:val="hybridMultilevel"/>
    <w:tmpl w:val="B30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C0429C"/>
    <w:multiLevelType w:val="hybridMultilevel"/>
    <w:tmpl w:val="CD76A318"/>
    <w:lvl w:ilvl="0" w:tplc="6658B0A2">
      <w:start w:val="1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F2"/>
    <w:rsid w:val="00122AED"/>
    <w:rsid w:val="002479FE"/>
    <w:rsid w:val="00262D75"/>
    <w:rsid w:val="0035320E"/>
    <w:rsid w:val="003F256D"/>
    <w:rsid w:val="007E3E70"/>
    <w:rsid w:val="007F17F2"/>
    <w:rsid w:val="00801362"/>
    <w:rsid w:val="00897293"/>
    <w:rsid w:val="009B0C9D"/>
    <w:rsid w:val="00AC060F"/>
    <w:rsid w:val="00BC3093"/>
    <w:rsid w:val="00D76C1B"/>
    <w:rsid w:val="00F60C6B"/>
    <w:rsid w:val="00FF7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99F38-C1B7-457C-8F37-390E8891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738A"/>
    <w:pPr>
      <w:ind w:left="720"/>
      <w:contextualSpacing/>
    </w:pPr>
  </w:style>
  <w:style w:type="paragraph" w:customStyle="1" w:styleId="Betreffzeile">
    <w:name w:val="Betreffzeile"/>
    <w:basedOn w:val="Standard"/>
    <w:link w:val="BetreffzeileZchn"/>
    <w:qFormat/>
    <w:rsid w:val="00FF738A"/>
    <w:pPr>
      <w:spacing w:after="0" w:line="240" w:lineRule="auto"/>
    </w:pPr>
    <w:rPr>
      <w:rFonts w:ascii="Noto Sans" w:eastAsia="MS Mincho" w:hAnsi="Noto Sans" w:cs="Times New Roman"/>
      <w:b/>
      <w:szCs w:val="18"/>
      <w:lang w:eastAsia="ja-JP"/>
    </w:rPr>
  </w:style>
  <w:style w:type="character" w:customStyle="1" w:styleId="BetreffzeileZchn">
    <w:name w:val="Betreffzeile Zchn"/>
    <w:link w:val="Betreffzeile"/>
    <w:rsid w:val="00FF738A"/>
    <w:rPr>
      <w:rFonts w:ascii="Noto Sans" w:eastAsia="MS Mincho" w:hAnsi="Noto Sans" w:cs="Times New Roman"/>
      <w:b/>
      <w:szCs w:val="18"/>
      <w:lang w:eastAsia="ja-JP"/>
    </w:rPr>
  </w:style>
  <w:style w:type="paragraph" w:styleId="Kopfzeile">
    <w:name w:val="header"/>
    <w:basedOn w:val="Standard"/>
    <w:link w:val="KopfzeileZchn"/>
    <w:uiPriority w:val="99"/>
    <w:unhideWhenUsed/>
    <w:rsid w:val="008013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1362"/>
  </w:style>
  <w:style w:type="paragraph" w:styleId="Fuzeile">
    <w:name w:val="footer"/>
    <w:basedOn w:val="Standard"/>
    <w:link w:val="FuzeileZchn"/>
    <w:uiPriority w:val="99"/>
    <w:unhideWhenUsed/>
    <w:rsid w:val="008013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Romstedt, Nataliia</dc:creator>
  <cp:keywords/>
  <dc:description/>
  <cp:lastModifiedBy>Romstedt, Nataliia</cp:lastModifiedBy>
  <cp:revision>8</cp:revision>
  <dcterms:created xsi:type="dcterms:W3CDTF">2024-03-25T09:54:00Z</dcterms:created>
  <dcterms:modified xsi:type="dcterms:W3CDTF">2024-03-25T13:54:00Z</dcterms:modified>
</cp:coreProperties>
</file>