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064C" w14:textId="715B8152" w:rsidR="00B54FE7" w:rsidRPr="00B9432D" w:rsidRDefault="00B54FE7" w:rsidP="00B54FE7">
      <w:pPr>
        <w:rPr>
          <w:rFonts w:asciiTheme="minorHAnsi" w:hAnsiTheme="minorHAnsi" w:cstheme="minorHAnsi"/>
          <w:sz w:val="24"/>
          <w:szCs w:val="24"/>
        </w:rPr>
      </w:pPr>
      <w:r w:rsidRPr="00B9432D">
        <w:rPr>
          <w:rFonts w:asciiTheme="minorHAnsi" w:hAnsiTheme="minorHAnsi" w:cstheme="minorHAnsi"/>
          <w:sz w:val="24"/>
          <w:szCs w:val="24"/>
        </w:rPr>
        <w:t>Landkreis Mansfeld-Südharz, Umweltamt,</w:t>
      </w:r>
      <w:r w:rsidRPr="00B9432D">
        <w:rPr>
          <w:rFonts w:asciiTheme="minorHAnsi" w:hAnsiTheme="minorHAnsi" w:cstheme="minorHAnsi"/>
          <w:sz w:val="24"/>
          <w:szCs w:val="24"/>
        </w:rPr>
        <w:tab/>
      </w:r>
      <w:r w:rsidRPr="00B9432D">
        <w:rPr>
          <w:rFonts w:asciiTheme="minorHAnsi" w:hAnsiTheme="minorHAnsi" w:cstheme="minorHAnsi"/>
          <w:sz w:val="24"/>
          <w:szCs w:val="24"/>
        </w:rPr>
        <w:tab/>
      </w:r>
      <w:r w:rsidRPr="00B9432D">
        <w:rPr>
          <w:rFonts w:asciiTheme="minorHAnsi" w:hAnsiTheme="minorHAnsi" w:cstheme="minorHAnsi"/>
          <w:sz w:val="24"/>
          <w:szCs w:val="24"/>
        </w:rPr>
        <w:tab/>
        <w:t xml:space="preserve">Lutherstadt Eisleben, </w:t>
      </w:r>
      <w:r w:rsidR="00842B9D">
        <w:rPr>
          <w:rFonts w:asciiTheme="minorHAnsi" w:hAnsiTheme="minorHAnsi" w:cstheme="minorHAnsi"/>
          <w:sz w:val="24"/>
          <w:szCs w:val="24"/>
        </w:rPr>
        <w:t>20.04.2026</w:t>
      </w:r>
    </w:p>
    <w:p w14:paraId="75907064" w14:textId="77777777" w:rsidR="00B54FE7" w:rsidRPr="00B9432D" w:rsidRDefault="00B54FE7" w:rsidP="00B54FE7">
      <w:pPr>
        <w:rPr>
          <w:rFonts w:asciiTheme="minorHAnsi" w:hAnsiTheme="minorHAnsi" w:cstheme="minorHAnsi"/>
          <w:sz w:val="24"/>
          <w:szCs w:val="24"/>
        </w:rPr>
      </w:pPr>
      <w:r w:rsidRPr="00B9432D">
        <w:rPr>
          <w:rFonts w:asciiTheme="minorHAnsi" w:hAnsiTheme="minorHAnsi" w:cstheme="minorHAnsi"/>
          <w:sz w:val="24"/>
          <w:szCs w:val="24"/>
        </w:rPr>
        <w:t>Untere Immissionsschutzbehörde</w:t>
      </w:r>
    </w:p>
    <w:p w14:paraId="4134A3EA" w14:textId="77777777" w:rsidR="00B54FE7" w:rsidRPr="00B9432D" w:rsidRDefault="00B54FE7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1B811DF4" w14:textId="77777777" w:rsidR="00B54FE7" w:rsidRPr="00B9432D" w:rsidRDefault="00B54FE7" w:rsidP="00B54F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432D">
        <w:rPr>
          <w:rFonts w:asciiTheme="minorHAnsi" w:hAnsiTheme="minorHAnsi" w:cstheme="minorHAnsi"/>
          <w:b/>
          <w:sz w:val="24"/>
          <w:szCs w:val="24"/>
        </w:rPr>
        <w:t>Feststellung der UVP-Pflicht</w:t>
      </w:r>
    </w:p>
    <w:p w14:paraId="4366DA3B" w14:textId="77777777" w:rsidR="00B54FE7" w:rsidRPr="00B9432D" w:rsidRDefault="00B54FE7" w:rsidP="00B54F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CED2F0" w14:textId="640D5A89" w:rsidR="00B54FE7" w:rsidRPr="00B9432D" w:rsidRDefault="00B54FE7" w:rsidP="00B54FE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432D">
        <w:rPr>
          <w:rFonts w:asciiTheme="minorHAnsi" w:hAnsiTheme="minorHAnsi" w:cstheme="minorHAnsi"/>
          <w:b/>
          <w:sz w:val="24"/>
          <w:szCs w:val="24"/>
        </w:rPr>
        <w:t>Vorprüfung zur Feststellung der UVP-Pflicht - § 9 Abs. 2 Satz 1 Nr. 2 i. V. m. § 7 UVPG</w:t>
      </w:r>
      <w:r w:rsidR="00A74C4A">
        <w:rPr>
          <w:rFonts w:asciiTheme="minorHAnsi" w:hAnsiTheme="minorHAnsi" w:cstheme="minorHAnsi"/>
          <w:b/>
          <w:sz w:val="24"/>
          <w:szCs w:val="24"/>
        </w:rPr>
        <w:t xml:space="preserve"> sowie i. V. m. einem Antrag nach § 9 Abs. 1 a BImSchG</w:t>
      </w:r>
      <w:r w:rsidRPr="00B943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74C4A">
        <w:rPr>
          <w:rFonts w:asciiTheme="minorHAnsi" w:hAnsiTheme="minorHAnsi" w:cstheme="minorHAnsi"/>
          <w:b/>
          <w:sz w:val="24"/>
          <w:szCs w:val="24"/>
        </w:rPr>
        <w:t>(Vorbescheid)</w:t>
      </w:r>
    </w:p>
    <w:p w14:paraId="13A8C2A4" w14:textId="77777777" w:rsidR="00A6587F" w:rsidRDefault="00A6587F" w:rsidP="00B9432D">
      <w:pPr>
        <w:rPr>
          <w:rFonts w:asciiTheme="minorHAnsi" w:hAnsiTheme="minorHAnsi" w:cstheme="minorHAnsi"/>
          <w:sz w:val="24"/>
          <w:szCs w:val="24"/>
        </w:rPr>
      </w:pPr>
    </w:p>
    <w:p w14:paraId="5F10E094" w14:textId="5ACD5E55" w:rsidR="00B23533" w:rsidRDefault="00B23533" w:rsidP="00B9432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Gegenstand des Vorbescheides:</w:t>
      </w:r>
    </w:p>
    <w:p w14:paraId="667E5E4D" w14:textId="3089CE5D" w:rsidR="00B23533" w:rsidRDefault="00B23533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Feststellung, ob es sich bei dem </w:t>
      </w:r>
      <w:r w:rsidR="008707EC">
        <w:rPr>
          <w:rFonts w:asciiTheme="minorHAnsi" w:hAnsiTheme="minorHAnsi" w:cstheme="minorHAnsi"/>
          <w:sz w:val="24"/>
          <w:szCs w:val="24"/>
        </w:rPr>
        <w:t>geplan</w:t>
      </w:r>
      <w:r>
        <w:rPr>
          <w:rFonts w:asciiTheme="minorHAnsi" w:hAnsiTheme="minorHAnsi" w:cstheme="minorHAnsi"/>
          <w:sz w:val="24"/>
          <w:szCs w:val="24"/>
        </w:rPr>
        <w:t xml:space="preserve">ten </w:t>
      </w:r>
      <w:proofErr w:type="spellStart"/>
      <w:r>
        <w:rPr>
          <w:rFonts w:asciiTheme="minorHAnsi" w:hAnsiTheme="minorHAnsi" w:cstheme="minorHAnsi"/>
          <w:sz w:val="24"/>
          <w:szCs w:val="24"/>
        </w:rPr>
        <w:t>Repowering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-Vorhaben um ein </w:t>
      </w:r>
    </w:p>
    <w:p w14:paraId="4395D8B4" w14:textId="7857D64B" w:rsidR="00B23533" w:rsidRDefault="00B23533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="008707EC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auplanungsrechtlich privilegiertes Vorhaben nach § 35 Abs. 1 Nr. 5 BauGB handelt, da es </w:t>
      </w:r>
    </w:p>
    <w:p w14:paraId="5892F0CB" w14:textId="1DB2220D" w:rsidR="00B23533" w:rsidRDefault="00B23533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den Darstellungen des Flächennutzungsplanes im Sinne des § 35 Abs. 3 Satz 1</w:t>
      </w:r>
    </w:p>
    <w:p w14:paraId="57828DF1" w14:textId="77777777" w:rsidR="00B23533" w:rsidRDefault="00B23533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Nr. 1 BauGB (Flächennutzungsplan der Stadt Allstedt) sowie den Zielen der Raumordnung </w:t>
      </w:r>
    </w:p>
    <w:p w14:paraId="765B48AA" w14:textId="5F24F8F2" w:rsidR="00B23533" w:rsidRDefault="00B23533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im Sinne des § 35 Abs. 3 Satz 2 und 3 BauGB i.</w:t>
      </w:r>
      <w:r w:rsidR="00250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V.</w:t>
      </w:r>
      <w:r w:rsidR="00250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m. § 24</w:t>
      </w:r>
      <w:r w:rsidR="00BF6D8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e Abs. 3 BauGB (Regionaler </w:t>
      </w:r>
    </w:p>
    <w:p w14:paraId="1F23A5CA" w14:textId="6B54FACD" w:rsidR="00B23533" w:rsidRDefault="00B23533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Entwicklungsplan für die Planungsregion Harz) nicht widerspricht.</w:t>
      </w:r>
    </w:p>
    <w:p w14:paraId="3E63B52C" w14:textId="4E3060FF" w:rsidR="00B23533" w:rsidRDefault="000E1A6B" w:rsidP="00F17E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23533">
        <w:rPr>
          <w:rFonts w:asciiTheme="minorHAnsi" w:hAnsiTheme="minorHAnsi" w:cstheme="minorHAnsi"/>
          <w:sz w:val="24"/>
          <w:szCs w:val="24"/>
        </w:rPr>
        <w:t xml:space="preserve">- </w:t>
      </w:r>
      <w:r w:rsidR="00FE738A">
        <w:rPr>
          <w:rFonts w:asciiTheme="minorHAnsi" w:hAnsiTheme="minorHAnsi" w:cstheme="minorHAnsi"/>
          <w:sz w:val="24"/>
          <w:szCs w:val="24"/>
        </w:rPr>
        <w:t>A</w:t>
      </w:r>
      <w:r w:rsidR="00B23533">
        <w:rPr>
          <w:rFonts w:asciiTheme="minorHAnsi" w:hAnsiTheme="minorHAnsi" w:cstheme="minorHAnsi"/>
          <w:sz w:val="24"/>
          <w:szCs w:val="24"/>
        </w:rPr>
        <w:t xml:space="preserve">lle übrigen öffentlichen Belange nach § 35 Abs. 3 BauGB sind von der Prüfung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E738A">
        <w:rPr>
          <w:rFonts w:asciiTheme="minorHAnsi" w:hAnsiTheme="minorHAnsi" w:cstheme="minorHAnsi"/>
          <w:sz w:val="24"/>
          <w:szCs w:val="24"/>
        </w:rPr>
        <w:t xml:space="preserve"> </w:t>
      </w:r>
      <w:r w:rsidR="00B23533">
        <w:rPr>
          <w:rFonts w:asciiTheme="minorHAnsi" w:hAnsiTheme="minorHAnsi" w:cstheme="minorHAnsi"/>
          <w:sz w:val="24"/>
          <w:szCs w:val="24"/>
        </w:rPr>
        <w:t>auszunehmen.</w:t>
      </w:r>
    </w:p>
    <w:p w14:paraId="1B428951" w14:textId="77777777" w:rsidR="00B23533" w:rsidRPr="00B9432D" w:rsidRDefault="00B23533" w:rsidP="00F17EBF">
      <w:pPr>
        <w:rPr>
          <w:rFonts w:asciiTheme="minorHAnsi" w:hAnsiTheme="minorHAnsi" w:cstheme="minorHAnsi"/>
          <w:sz w:val="24"/>
          <w:szCs w:val="24"/>
        </w:rPr>
      </w:pPr>
    </w:p>
    <w:p w14:paraId="5704E141" w14:textId="77777777" w:rsidR="00A6587F" w:rsidRPr="00A6587F" w:rsidRDefault="00A6587F" w:rsidP="00A6587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6587F">
        <w:rPr>
          <w:rFonts w:asciiTheme="minorHAnsi" w:hAnsiTheme="minorHAnsi" w:cstheme="minorHAnsi"/>
          <w:b/>
          <w:sz w:val="24"/>
          <w:szCs w:val="24"/>
        </w:rPr>
        <w:t>Allgemeine Vorprüfung</w:t>
      </w:r>
    </w:p>
    <w:p w14:paraId="71424D8E" w14:textId="77777777" w:rsidR="00A6587F" w:rsidRDefault="00A6587F" w:rsidP="00A6587F">
      <w:pPr>
        <w:jc w:val="both"/>
        <w:rPr>
          <w:rFonts w:ascii="Arial" w:hAnsi="Arial"/>
          <w:i/>
          <w:iCs/>
          <w:sz w:val="22"/>
          <w:szCs w:val="22"/>
        </w:rPr>
      </w:pPr>
    </w:p>
    <w:p w14:paraId="17A643B7" w14:textId="77777777" w:rsidR="00A6587F" w:rsidRDefault="00A6587F" w:rsidP="00A6587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Feststellung der UVP - Pflicht erfolgte gemäß § 5 Abs. 1 Nr. 1 UVPG auf Antrag des Vorhabenträgers. </w:t>
      </w:r>
    </w:p>
    <w:p w14:paraId="60807229" w14:textId="77777777" w:rsidR="00A6587F" w:rsidRDefault="00A6587F" w:rsidP="00A6587F">
      <w:pPr>
        <w:jc w:val="both"/>
        <w:rPr>
          <w:rFonts w:ascii="Arial" w:hAnsi="Arial"/>
          <w:sz w:val="22"/>
          <w:szCs w:val="22"/>
        </w:rPr>
      </w:pPr>
    </w:p>
    <w:p w14:paraId="3AA86EF4" w14:textId="5EA372F7" w:rsidR="00A6587F" w:rsidRDefault="00A6587F" w:rsidP="00A6587F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Grundlage der Vorprüfung sind die eingereichten Antragsunterlagen vom 17.02.2025/ 07.04.2025 sowie die Ergänzung vom 28.07.2025</w:t>
      </w:r>
      <w:r w:rsidR="00FC087B">
        <w:rPr>
          <w:rFonts w:asciiTheme="minorHAnsi" w:hAnsiTheme="minorHAnsi" w:cstheme="minorHAnsi"/>
          <w:sz w:val="24"/>
          <w:szCs w:val="24"/>
        </w:rPr>
        <w:t>,</w:t>
      </w:r>
      <w:r w:rsidR="00BB6C46">
        <w:rPr>
          <w:rFonts w:asciiTheme="minorHAnsi" w:hAnsiTheme="minorHAnsi" w:cstheme="minorHAnsi"/>
          <w:sz w:val="24"/>
          <w:szCs w:val="24"/>
        </w:rPr>
        <w:t xml:space="preserve"> den geänderten Antragsunterlagen vom 30.01.2026 bezogen auf die Verschiebung der geplanten WEA L02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42B9D">
        <w:rPr>
          <w:rFonts w:asciiTheme="minorHAnsi" w:hAnsiTheme="minorHAnsi" w:cstheme="minorHAnsi"/>
          <w:sz w:val="24"/>
          <w:szCs w:val="24"/>
        </w:rPr>
        <w:t xml:space="preserve">und den geänderten Antragsunterlagen vom 25.03.2026 bezogen auf die Verschiebung der geplanten WEA L01 </w:t>
      </w:r>
      <w:r>
        <w:rPr>
          <w:rFonts w:asciiTheme="minorHAnsi" w:hAnsiTheme="minorHAnsi" w:cstheme="minorHAnsi"/>
          <w:sz w:val="24"/>
          <w:szCs w:val="24"/>
        </w:rPr>
        <w:t>in Verbindung mit den Stellungnahmen der beteiligten Fachbehörden.</w:t>
      </w:r>
    </w:p>
    <w:p w14:paraId="6AB55B3B" w14:textId="77777777" w:rsidR="00A6587F" w:rsidRDefault="00A6587F" w:rsidP="00A6587F">
      <w:pPr>
        <w:rPr>
          <w:rFonts w:ascii="Arial" w:hAnsi="Arial" w:cs="Arial"/>
          <w:b/>
          <w:sz w:val="22"/>
          <w:szCs w:val="22"/>
        </w:rPr>
      </w:pPr>
    </w:p>
    <w:p w14:paraId="4A79E968" w14:textId="77777777" w:rsidR="00A6587F" w:rsidRDefault="00A6587F" w:rsidP="00A6587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Nach § 29 Abs. 1 Satz 1 UVPG hat sich die UVP im Falle eines </w:t>
      </w:r>
      <w:proofErr w:type="spellStart"/>
      <w:r>
        <w:rPr>
          <w:rFonts w:asciiTheme="minorHAnsi" w:hAnsiTheme="minorHAnsi" w:cstheme="minorHAnsi"/>
          <w:sz w:val="24"/>
          <w:szCs w:val="24"/>
        </w:rPr>
        <w:t>Vorbescheidverfahrens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vorläufig auf die nach dem jeweiligen Planungsstand erkennbaren Umweltauswirkungen des Gesamtvorhabens zu erstrecken und abschließend auf die Umweltauswirkungen, die Gegenstand der Teilzulassung sind. Für </w:t>
      </w:r>
      <w:proofErr w:type="spellStart"/>
      <w:r>
        <w:rPr>
          <w:rFonts w:asciiTheme="minorHAnsi" w:hAnsiTheme="minorHAnsi" w:cstheme="minorHAnsi"/>
          <w:sz w:val="24"/>
          <w:szCs w:val="24"/>
        </w:rPr>
        <w:t>Vorbescheidverfahren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gemäß § 9 Abs. 1a BImSchG entfallen nach dem dortigen Satz 2 vorläufige Prüfungen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bezogen auf das Gesamtvorhaben. </w:t>
      </w:r>
      <w:r>
        <w:rPr>
          <w:rFonts w:asciiTheme="minorHAnsi" w:hAnsiTheme="minorHAnsi" w:cstheme="minorHAnsi"/>
          <w:b/>
          <w:bCs/>
          <w:sz w:val="24"/>
          <w:szCs w:val="24"/>
        </w:rPr>
        <w:t>Prüfungen nach dem UVPG haben sich abschließend auf die Umweltauswirkungen zu beziehen, die Gegenstand des Vorbescheides sind.</w:t>
      </w:r>
    </w:p>
    <w:p w14:paraId="41FC281A" w14:textId="0D69D9F2" w:rsidR="00A6587F" w:rsidRDefault="00A6587F" w:rsidP="00A658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Gegenstand des Vorbescheides ist die Feststellung, ob es sich bei dem beantragten </w:t>
      </w:r>
      <w:proofErr w:type="spellStart"/>
      <w:r>
        <w:rPr>
          <w:rFonts w:asciiTheme="minorHAnsi" w:hAnsiTheme="minorHAnsi" w:cstheme="minorHAnsi"/>
          <w:sz w:val="24"/>
          <w:szCs w:val="24"/>
        </w:rPr>
        <w:t>Repowering</w:t>
      </w:r>
      <w:proofErr w:type="spellEnd"/>
      <w:r>
        <w:rPr>
          <w:rFonts w:asciiTheme="minorHAnsi" w:hAnsiTheme="minorHAnsi" w:cstheme="minorHAnsi"/>
          <w:sz w:val="24"/>
          <w:szCs w:val="24"/>
        </w:rPr>
        <w:t>-Vorhaben um ein bauplanungsrechtlich privilegiertes Vorhaben nach § 35 Abs. 1 Nr. 5 BauGB handelt, da es den Darstellungen des Flächennutzungsplanes im Sinne des § 35 Abs. 3 Satz 1 Nr. 1 BauGB (Flächennutzungsplan der Stadt Allstedt) sowie den Zielen der Raumordnung im Sinne des § 35 Abs. 3 Satz 2 und 3 BauGB i. V. m. § 24</w:t>
      </w:r>
      <w:r w:rsidR="00385DB9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e Abs. 3 BauGB (Regionaler Entwicklungsplan für die Planungsregion Harz) nicht widerspricht.</w:t>
      </w:r>
    </w:p>
    <w:p w14:paraId="019B47D0" w14:textId="77777777" w:rsidR="00A6587F" w:rsidRDefault="00A6587F" w:rsidP="00A6587F">
      <w:pPr>
        <w:rPr>
          <w:rFonts w:asciiTheme="minorHAnsi" w:hAnsiTheme="minorHAnsi" w:cstheme="minorHAnsi"/>
          <w:sz w:val="24"/>
          <w:szCs w:val="24"/>
        </w:rPr>
      </w:pPr>
    </w:p>
    <w:p w14:paraId="3D1EAC49" w14:textId="77777777" w:rsidR="00A6587F" w:rsidRDefault="00A6587F" w:rsidP="00A6587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Die Allgemeine Vorprüfung wird als überschlägige Prüfung unter Berücksichtigung der in Anlage 3 UVPG aufgeführten Kriterien durchgeführt, hier ausschließlich für betreffende planungsrechtliche Belange. </w:t>
      </w:r>
    </w:p>
    <w:p w14:paraId="287F224C" w14:textId="77777777" w:rsidR="00B54FE7" w:rsidRDefault="00B54FE7" w:rsidP="00B54F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E3C391" w14:textId="77777777" w:rsidR="00865516" w:rsidRDefault="00865516" w:rsidP="00B54F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633E75" w14:textId="77777777" w:rsidR="00865516" w:rsidRPr="00B9432D" w:rsidRDefault="00865516" w:rsidP="00B54FE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5380AC" w14:textId="4D070168" w:rsidR="00B54FE7" w:rsidRPr="00A6587F" w:rsidRDefault="00B9432D" w:rsidP="00B54FE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587F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Allgemeine</w:t>
      </w:r>
      <w:r w:rsidR="00B54FE7" w:rsidRPr="00A6587F">
        <w:rPr>
          <w:rFonts w:asciiTheme="minorHAnsi" w:hAnsiTheme="minorHAnsi" w:cstheme="minorHAnsi"/>
          <w:b/>
          <w:sz w:val="24"/>
          <w:szCs w:val="24"/>
          <w:u w:val="single"/>
        </w:rPr>
        <w:t xml:space="preserve"> Vorprüfung nach § </w:t>
      </w:r>
      <w:r w:rsidR="00A6587F" w:rsidRPr="00A6587F">
        <w:rPr>
          <w:rFonts w:asciiTheme="minorHAnsi" w:hAnsiTheme="minorHAnsi" w:cstheme="minorHAnsi"/>
          <w:b/>
          <w:sz w:val="24"/>
          <w:szCs w:val="24"/>
          <w:u w:val="single"/>
        </w:rPr>
        <w:t>9 Abs. 2 Satz 1 Nr. 2 UVPG</w:t>
      </w:r>
    </w:p>
    <w:p w14:paraId="0E7C0FC5" w14:textId="77777777" w:rsidR="00B54FE7" w:rsidRPr="00A6587F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759E68" w14:textId="0F0A044C" w:rsidR="00B54FE7" w:rsidRDefault="00B54FE7" w:rsidP="00B54FE7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B9432D">
        <w:rPr>
          <w:rFonts w:asciiTheme="minorHAnsi" w:hAnsiTheme="minorHAnsi" w:cstheme="minorHAnsi"/>
          <w:sz w:val="24"/>
          <w:szCs w:val="24"/>
        </w:rPr>
        <w:t>Vorhabensdaten</w:t>
      </w:r>
      <w:proofErr w:type="spellEnd"/>
      <w:r w:rsidR="00652171" w:rsidRPr="00B9432D">
        <w:rPr>
          <w:rFonts w:asciiTheme="minorHAnsi" w:hAnsiTheme="minorHAnsi" w:cstheme="minorHAnsi"/>
          <w:sz w:val="24"/>
          <w:szCs w:val="24"/>
        </w:rPr>
        <w:t xml:space="preserve">: </w:t>
      </w:r>
      <w:r w:rsidR="00B9432D">
        <w:rPr>
          <w:rFonts w:asciiTheme="minorHAnsi" w:hAnsiTheme="minorHAnsi" w:cstheme="minorHAnsi"/>
          <w:sz w:val="24"/>
          <w:szCs w:val="24"/>
        </w:rPr>
        <w:t>Vorbescheid</w:t>
      </w:r>
      <w:r w:rsidR="00652171" w:rsidRPr="00B9432D">
        <w:rPr>
          <w:rFonts w:asciiTheme="minorHAnsi" w:hAnsiTheme="minorHAnsi" w:cstheme="minorHAnsi"/>
          <w:sz w:val="24"/>
          <w:szCs w:val="24"/>
        </w:rPr>
        <w:t xml:space="preserve"> nach § </w:t>
      </w:r>
      <w:r w:rsidR="00B9432D">
        <w:rPr>
          <w:rFonts w:asciiTheme="minorHAnsi" w:hAnsiTheme="minorHAnsi" w:cstheme="minorHAnsi"/>
          <w:sz w:val="24"/>
          <w:szCs w:val="24"/>
        </w:rPr>
        <w:t>9 Abs. 1a</w:t>
      </w:r>
      <w:r w:rsidR="00652171" w:rsidRPr="00B9432D">
        <w:rPr>
          <w:rFonts w:asciiTheme="minorHAnsi" w:hAnsiTheme="minorHAnsi" w:cstheme="minorHAnsi"/>
          <w:sz w:val="24"/>
          <w:szCs w:val="24"/>
        </w:rPr>
        <w:t xml:space="preserve"> BImSchG</w:t>
      </w:r>
    </w:p>
    <w:p w14:paraId="41E4F7A3" w14:textId="0E539C3F" w:rsidR="00B23533" w:rsidRPr="00B9432D" w:rsidRDefault="00B23533" w:rsidP="00B2353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4"/>
      </w:tblGrid>
      <w:tr w:rsidR="00B54FE7" w:rsidRPr="00B9432D" w14:paraId="79251385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7869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Antragsteller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DFB3" w14:textId="77777777" w:rsidR="00B54FE7" w:rsidRDefault="00B9432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LORICA</w:t>
            </w:r>
            <w:r w:rsidR="00B54FE7" w:rsidRPr="00B943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0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Windpark</w:t>
            </w:r>
            <w:proofErr w:type="spellEnd"/>
            <w:r w:rsidR="009540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0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Biere</w:t>
            </w:r>
            <w:proofErr w:type="spellEnd"/>
            <w:r w:rsidR="0095408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B54FE7" w:rsidRPr="00B9432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GmbH &amp; Co. KG</w:t>
            </w:r>
          </w:p>
          <w:p w14:paraId="27B22AEA" w14:textId="1551B12C" w:rsidR="00660102" w:rsidRPr="00B9432D" w:rsidRDefault="00660102" w:rsidP="0066010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60102">
              <w:rPr>
                <w:rFonts w:asciiTheme="minorHAnsi" w:hAnsiTheme="minorHAnsi" w:cstheme="minorHAnsi"/>
                <w:sz w:val="24"/>
                <w:szCs w:val="24"/>
              </w:rPr>
              <w:t>Magdeburger Str. 7 in 39221 Biere</w:t>
            </w:r>
          </w:p>
        </w:tc>
      </w:tr>
      <w:tr w:rsidR="00B54FE7" w:rsidRPr="00B9432D" w14:paraId="1BFCE024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BE38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Standort der Anlage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E020" w14:textId="77777777" w:rsidR="00954083" w:rsidRDefault="00B54FE7" w:rsidP="006521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 xml:space="preserve">Gem. 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>Nienstedt</w:t>
            </w: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 xml:space="preserve">, Flur 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>, Flurstück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 xml:space="preserve"> 31</w:t>
            </w:r>
          </w:p>
          <w:p w14:paraId="0709BF4F" w14:textId="5F3BC004" w:rsidR="00B54FE7" w:rsidRPr="00B9432D" w:rsidRDefault="00954083" w:rsidP="006521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Gem.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Niederröblingen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Flur</w:t>
            </w:r>
            <w:r w:rsidR="00B54FE7" w:rsidRPr="00B943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5, Flurstück 166</w:t>
            </w:r>
          </w:p>
        </w:tc>
      </w:tr>
      <w:tr w:rsidR="00B54FE7" w:rsidRPr="00B9432D" w14:paraId="5741ACCD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8D2D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Aktenzeichen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E5A4" w14:textId="0B08B7FC" w:rsidR="00B54FE7" w:rsidRPr="00954083" w:rsidRDefault="00954083" w:rsidP="0065217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54083">
              <w:rPr>
                <w:rFonts w:asciiTheme="minorHAnsi" w:hAnsiTheme="minorHAnsi" w:cstheme="minorHAnsi"/>
                <w:sz w:val="24"/>
                <w:szCs w:val="24"/>
              </w:rPr>
              <w:t>BImSchG/9/2025/237</w:t>
            </w:r>
          </w:p>
        </w:tc>
      </w:tr>
      <w:tr w:rsidR="00B54FE7" w:rsidRPr="00B9432D" w14:paraId="2B7FD142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7CA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Bezeichnung der Anlage (4. BImSchV)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3779" w14:textId="1715E81C" w:rsidR="00B54FE7" w:rsidRPr="00B9432D" w:rsidRDefault="00B54FE7" w:rsidP="009540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>Anlage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 xml:space="preserve"> zur 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>Nutzung von Windenergie mit einer Gesamthöhe von mehr als 50 m und weniger als 20 Windkraftanlagen</w:t>
            </w:r>
            <w:r w:rsidR="00652171"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54FE7" w:rsidRPr="00B9432D" w14:paraId="0462D21D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293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Leistung / Messzahl/ Bezugsgröße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FBE2" w14:textId="291497A9" w:rsidR="00954083" w:rsidRPr="00954083" w:rsidRDefault="00954083" w:rsidP="0095408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WEA des Typs </w:t>
            </w:r>
            <w:r w:rsidRPr="00954083">
              <w:rPr>
                <w:rFonts w:asciiTheme="minorHAnsi" w:hAnsiTheme="minorHAnsi" w:cstheme="minorHAnsi"/>
                <w:bCs/>
                <w:sz w:val="24"/>
                <w:szCs w:val="24"/>
              </w:rPr>
              <w:t>E-175 EP5 E1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mit je </w:t>
            </w:r>
            <w:r w:rsidRPr="00954083">
              <w:rPr>
                <w:rFonts w:asciiTheme="minorHAnsi" w:hAnsiTheme="minorHAnsi" w:cstheme="minorHAnsi"/>
                <w:bCs/>
                <w:sz w:val="24"/>
                <w:szCs w:val="24"/>
              </w:rPr>
              <w:t>6 MW; Nabenhöhe 162 m; Gesamthöhe 249,5 m</w:t>
            </w:r>
          </w:p>
        </w:tc>
      </w:tr>
      <w:tr w:rsidR="00B54FE7" w:rsidRPr="00B9432D" w14:paraId="18461621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12C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Nr. gemäß Anhang 1 der 4. BImSchV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EFDF" w14:textId="023CD38F" w:rsidR="00C663C0" w:rsidRPr="00B9432D" w:rsidRDefault="00B54FE7" w:rsidP="0095408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B9432D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="00954083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</w:tr>
      <w:tr w:rsidR="00B54FE7" w:rsidRPr="00B9432D" w14:paraId="5EC01EFA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BAD7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Nr. laut Anlage 1 des UVPG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2430" w14:textId="1EF44FC2" w:rsidR="00C663C0" w:rsidRPr="00B9432D" w:rsidRDefault="001A5758" w:rsidP="00CF4F5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1.6.2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Sp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2 A </w:t>
            </w:r>
          </w:p>
        </w:tc>
      </w:tr>
      <w:tr w:rsidR="00B54FE7" w:rsidRPr="00B9432D" w14:paraId="53DA021C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38FC" w14:textId="77777777" w:rsidR="00B54FE7" w:rsidRPr="00B9432D" w:rsidRDefault="00B54FE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Generelle UVP-Pflicht für o. g. Vorhaben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0B2F" w14:textId="7EAD9F46" w:rsidR="00C663C0" w:rsidRPr="00B9432D" w:rsidRDefault="001A5758" w:rsidP="00CF4F5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nein</w:t>
            </w:r>
          </w:p>
        </w:tc>
      </w:tr>
      <w:tr w:rsidR="00B54FE7" w:rsidRPr="00B9432D" w14:paraId="115D9072" w14:textId="77777777" w:rsidTr="00593F93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C58F" w14:textId="77777777" w:rsidR="00B54FE7" w:rsidRPr="00B9432D" w:rsidRDefault="00B54F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Datum der Antragstellung § 5 UVPG/</w:t>
            </w:r>
          </w:p>
          <w:p w14:paraId="3F9AF38A" w14:textId="77777777" w:rsidR="00B54FE7" w:rsidRPr="00B9432D" w:rsidRDefault="00B54FE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432D">
              <w:rPr>
                <w:rFonts w:asciiTheme="minorHAnsi" w:hAnsiTheme="minorHAnsi" w:cstheme="minorHAnsi"/>
                <w:b/>
                <w:sz w:val="24"/>
                <w:szCs w:val="24"/>
              </w:rPr>
              <w:t>Posteingang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C0E3" w14:textId="534B6705" w:rsidR="00B54FE7" w:rsidRPr="00B9432D" w:rsidRDefault="001A575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758">
              <w:rPr>
                <w:rFonts w:asciiTheme="minorHAnsi" w:hAnsiTheme="minorHAnsi" w:cstheme="minorHAnsi"/>
                <w:sz w:val="24"/>
                <w:szCs w:val="24"/>
              </w:rPr>
              <w:t>17.02.2025/ 07.04.2025</w:t>
            </w:r>
            <w:r w:rsidR="00B54FE7" w:rsidRPr="00B9432D">
              <w:rPr>
                <w:rFonts w:asciiTheme="minorHAnsi" w:hAnsiTheme="minorHAnsi" w:cstheme="minorHAnsi"/>
                <w:sz w:val="24"/>
                <w:szCs w:val="24"/>
              </w:rPr>
              <w:t xml:space="preserve"> im Rahmen der Vollständigkeitsprüfung</w:t>
            </w:r>
          </w:p>
        </w:tc>
      </w:tr>
    </w:tbl>
    <w:p w14:paraId="4D7B1FEF" w14:textId="77777777" w:rsidR="00B54FE7" w:rsidRPr="00B9432D" w:rsidRDefault="00B54FE7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0784E859" w14:textId="77777777" w:rsidR="00B54FE7" w:rsidRDefault="00B54FE7" w:rsidP="00B54FE7">
      <w:pPr>
        <w:rPr>
          <w:rFonts w:ascii="Arial" w:hAnsi="Arial" w:cs="Arial"/>
          <w:b/>
          <w:sz w:val="22"/>
          <w:szCs w:val="22"/>
        </w:rPr>
      </w:pPr>
    </w:p>
    <w:p w14:paraId="6EF84B1C" w14:textId="7A8E3B1C" w:rsidR="00B54FE7" w:rsidRPr="001A5758" w:rsidRDefault="00B54FE7" w:rsidP="00B54FE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A5758">
        <w:rPr>
          <w:rFonts w:asciiTheme="minorHAnsi" w:hAnsiTheme="minorHAnsi" w:cstheme="minorHAnsi"/>
          <w:b/>
          <w:sz w:val="24"/>
          <w:szCs w:val="24"/>
          <w:u w:val="single"/>
        </w:rPr>
        <w:t xml:space="preserve">Ergebnis der </w:t>
      </w:r>
      <w:r w:rsidR="001A5758" w:rsidRPr="001A5758">
        <w:rPr>
          <w:rFonts w:asciiTheme="minorHAnsi" w:hAnsiTheme="minorHAnsi" w:cstheme="minorHAnsi"/>
          <w:b/>
          <w:sz w:val="24"/>
          <w:szCs w:val="24"/>
          <w:u w:val="single"/>
        </w:rPr>
        <w:t>Allgemein</w:t>
      </w:r>
      <w:r w:rsidRPr="001A5758">
        <w:rPr>
          <w:rFonts w:asciiTheme="minorHAnsi" w:hAnsiTheme="minorHAnsi" w:cstheme="minorHAnsi"/>
          <w:b/>
          <w:sz w:val="24"/>
          <w:szCs w:val="24"/>
          <w:u w:val="single"/>
        </w:rPr>
        <w:t xml:space="preserve">en Vorprüfung </w:t>
      </w:r>
    </w:p>
    <w:p w14:paraId="46667186" w14:textId="77777777" w:rsidR="00B54FE7" w:rsidRPr="001A5758" w:rsidRDefault="00B54FE7" w:rsidP="00B54F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1E015C" w14:textId="18DA8242" w:rsidR="00B54FE7" w:rsidRPr="001A5758" w:rsidRDefault="00B54FE7" w:rsidP="00B54FE7">
      <w:pPr>
        <w:jc w:val="both"/>
        <w:rPr>
          <w:rFonts w:asciiTheme="minorHAnsi" w:hAnsiTheme="minorHAnsi" w:cstheme="minorHAnsi"/>
          <w:sz w:val="24"/>
          <w:szCs w:val="24"/>
        </w:rPr>
      </w:pPr>
      <w:r w:rsidRPr="001A5758">
        <w:rPr>
          <w:rFonts w:asciiTheme="minorHAnsi" w:hAnsiTheme="minorHAnsi" w:cstheme="minorHAnsi"/>
          <w:sz w:val="24"/>
          <w:szCs w:val="24"/>
        </w:rPr>
        <w:t xml:space="preserve">Die </w:t>
      </w:r>
      <w:r w:rsidR="001A5758" w:rsidRPr="001A5758">
        <w:rPr>
          <w:rFonts w:asciiTheme="minorHAnsi" w:hAnsiTheme="minorHAnsi" w:cstheme="minorHAnsi"/>
          <w:sz w:val="24"/>
          <w:szCs w:val="24"/>
        </w:rPr>
        <w:t>Allgemein</w:t>
      </w:r>
      <w:r w:rsidRPr="001A5758">
        <w:rPr>
          <w:rFonts w:asciiTheme="minorHAnsi" w:hAnsiTheme="minorHAnsi" w:cstheme="minorHAnsi"/>
          <w:sz w:val="24"/>
          <w:szCs w:val="24"/>
        </w:rPr>
        <w:t xml:space="preserve">e Vorprüfung gemäß § 7 Abs. </w:t>
      </w:r>
      <w:r w:rsidR="001A5758" w:rsidRPr="001A5758">
        <w:rPr>
          <w:rFonts w:asciiTheme="minorHAnsi" w:hAnsiTheme="minorHAnsi" w:cstheme="minorHAnsi"/>
          <w:sz w:val="24"/>
          <w:szCs w:val="24"/>
        </w:rPr>
        <w:t>1</w:t>
      </w:r>
      <w:r w:rsidRPr="001A5758">
        <w:rPr>
          <w:rFonts w:asciiTheme="minorHAnsi" w:hAnsiTheme="minorHAnsi" w:cstheme="minorHAnsi"/>
          <w:sz w:val="24"/>
          <w:szCs w:val="24"/>
        </w:rPr>
        <w:t xml:space="preserve"> UVPG ergibt folgendes Ergebnis:</w:t>
      </w:r>
    </w:p>
    <w:p w14:paraId="112724E7" w14:textId="77777777" w:rsidR="00B54FE7" w:rsidRDefault="00B54FE7" w:rsidP="00B54FE7">
      <w:pPr>
        <w:jc w:val="both"/>
        <w:rPr>
          <w:rFonts w:ascii="Arial" w:hAnsi="Arial"/>
          <w:sz w:val="22"/>
          <w:szCs w:val="22"/>
        </w:rPr>
      </w:pPr>
    </w:p>
    <w:p w14:paraId="5C83DFBD" w14:textId="228D4348" w:rsidR="00FE738A" w:rsidRPr="00FE738A" w:rsidRDefault="00FE738A" w:rsidP="00B54FE7">
      <w:pPr>
        <w:jc w:val="both"/>
        <w:rPr>
          <w:rFonts w:asciiTheme="minorHAnsi" w:hAnsiTheme="minorHAnsi" w:cstheme="minorHAnsi"/>
          <w:sz w:val="24"/>
          <w:szCs w:val="24"/>
        </w:rPr>
      </w:pPr>
      <w:r w:rsidRPr="00FE738A">
        <w:rPr>
          <w:rFonts w:asciiTheme="minorHAnsi" w:hAnsiTheme="minorHAnsi" w:cstheme="minorHAnsi"/>
          <w:sz w:val="24"/>
          <w:szCs w:val="24"/>
        </w:rPr>
        <w:t>Im Rahmen des Verfahrens nach § 9 Abs. 1a BImSchG und dem vorläufigen Vorprüfungsverfahren nach dem UVPG w</w:t>
      </w:r>
      <w:r>
        <w:rPr>
          <w:rFonts w:asciiTheme="minorHAnsi" w:hAnsiTheme="minorHAnsi" w:cstheme="minorHAnsi"/>
          <w:sz w:val="24"/>
          <w:szCs w:val="24"/>
        </w:rPr>
        <w:t>urde</w:t>
      </w:r>
      <w:r w:rsidRPr="00FE738A">
        <w:rPr>
          <w:rFonts w:asciiTheme="minorHAnsi" w:hAnsiTheme="minorHAnsi" w:cstheme="minorHAnsi"/>
          <w:sz w:val="24"/>
          <w:szCs w:val="24"/>
        </w:rPr>
        <w:t xml:space="preserve"> die Prüfung als sog. Teilprüfung durchgefüh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FE738A">
        <w:rPr>
          <w:rFonts w:asciiTheme="minorHAnsi" w:hAnsiTheme="minorHAnsi" w:cstheme="minorHAnsi"/>
          <w:sz w:val="24"/>
          <w:szCs w:val="24"/>
        </w:rPr>
        <w:t xml:space="preserve">t, d. h. es werden nur die </w:t>
      </w:r>
      <w:r>
        <w:rPr>
          <w:rFonts w:asciiTheme="minorHAnsi" w:hAnsiTheme="minorHAnsi" w:cstheme="minorHAnsi"/>
          <w:sz w:val="24"/>
          <w:szCs w:val="24"/>
        </w:rPr>
        <w:t>Genehmigungsvoraussetzungen i. V. m. § 29 UVPG geprüft, welche im Hinblick auf die Umweltauswirkungen</w:t>
      </w:r>
      <w:r w:rsidR="005824FF">
        <w:rPr>
          <w:rFonts w:asciiTheme="minorHAnsi" w:hAnsiTheme="minorHAnsi" w:cstheme="minorHAnsi"/>
          <w:sz w:val="24"/>
          <w:szCs w:val="24"/>
        </w:rPr>
        <w:t xml:space="preserve">, Gegenstand des </w:t>
      </w:r>
      <w:proofErr w:type="spellStart"/>
      <w:r w:rsidR="005824FF">
        <w:rPr>
          <w:rFonts w:asciiTheme="minorHAnsi" w:hAnsiTheme="minorHAnsi" w:cstheme="minorHAnsi"/>
          <w:sz w:val="24"/>
          <w:szCs w:val="24"/>
        </w:rPr>
        <w:t>Vorbescheidverfahrens</w:t>
      </w:r>
      <w:proofErr w:type="spellEnd"/>
      <w:r w:rsidR="005824FF">
        <w:rPr>
          <w:rFonts w:asciiTheme="minorHAnsi" w:hAnsiTheme="minorHAnsi" w:cstheme="minorHAnsi"/>
          <w:sz w:val="24"/>
          <w:szCs w:val="24"/>
        </w:rPr>
        <w:t xml:space="preserve"> sind</w:t>
      </w:r>
      <w:r>
        <w:rPr>
          <w:rFonts w:asciiTheme="minorHAnsi" w:hAnsiTheme="minorHAnsi" w:cstheme="minorHAnsi"/>
          <w:sz w:val="24"/>
          <w:szCs w:val="24"/>
        </w:rPr>
        <w:t xml:space="preserve">. Im anschließendem Vollverfahren nach § 16b BImSchG erfolgt die ergänzende UVP-Vorprüfung auf alle übrigen Genehmigungsvoraussetzungen. </w:t>
      </w:r>
      <w:r w:rsidRPr="00FE738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604D2" w14:textId="77777777" w:rsidR="00FE738A" w:rsidRDefault="00FE738A" w:rsidP="00B54FE7">
      <w:pPr>
        <w:jc w:val="both"/>
        <w:rPr>
          <w:rFonts w:ascii="Arial" w:hAnsi="Arial"/>
          <w:i/>
          <w:iCs/>
          <w:sz w:val="22"/>
          <w:szCs w:val="22"/>
        </w:rPr>
      </w:pPr>
    </w:p>
    <w:p w14:paraId="39E09238" w14:textId="79EFBB03" w:rsidR="002502A8" w:rsidRDefault="002502A8" w:rsidP="002502A8">
      <w:pPr>
        <w:jc w:val="both"/>
        <w:rPr>
          <w:rFonts w:asciiTheme="minorHAnsi" w:hAnsiTheme="minorHAnsi" w:cstheme="minorHAnsi"/>
          <w:sz w:val="24"/>
          <w:szCs w:val="24"/>
        </w:rPr>
      </w:pPr>
      <w:r w:rsidRPr="002502A8">
        <w:rPr>
          <w:rFonts w:asciiTheme="minorHAnsi" w:hAnsiTheme="minorHAnsi" w:cstheme="minorHAnsi"/>
          <w:sz w:val="24"/>
          <w:szCs w:val="24"/>
        </w:rPr>
        <w:t xml:space="preserve">Bei diesem </w:t>
      </w:r>
      <w:proofErr w:type="spellStart"/>
      <w:r w:rsidRPr="002502A8">
        <w:rPr>
          <w:rFonts w:asciiTheme="minorHAnsi" w:hAnsiTheme="minorHAnsi" w:cstheme="minorHAnsi"/>
          <w:sz w:val="24"/>
          <w:szCs w:val="24"/>
        </w:rPr>
        <w:t>Vorbescheidverfahren</w:t>
      </w:r>
      <w:proofErr w:type="spellEnd"/>
      <w:r w:rsidRPr="002502A8">
        <w:rPr>
          <w:rFonts w:asciiTheme="minorHAnsi" w:hAnsiTheme="minorHAnsi" w:cstheme="minorHAnsi"/>
          <w:sz w:val="24"/>
          <w:szCs w:val="24"/>
        </w:rPr>
        <w:t xml:space="preserve"> sollen im Wesentlichen die bauplanungsrechtliche</w:t>
      </w:r>
      <w:r>
        <w:rPr>
          <w:rFonts w:asciiTheme="minorHAnsi" w:hAnsiTheme="minorHAnsi" w:cstheme="minorHAnsi"/>
          <w:sz w:val="24"/>
          <w:szCs w:val="24"/>
        </w:rPr>
        <w:t xml:space="preserve"> Zulässigkeit </w:t>
      </w:r>
      <w:r w:rsidRPr="002502A8">
        <w:rPr>
          <w:rFonts w:asciiTheme="minorHAnsi" w:hAnsiTheme="minorHAnsi" w:cstheme="minorHAnsi"/>
          <w:sz w:val="24"/>
          <w:szCs w:val="24"/>
        </w:rPr>
        <w:t>(Privilegierung, Vereinbarkeit mit den Darstellungen des Flächennutzungsplanes, Übereinstimmung mit den Zielen der Raumordnung) abgeprüft werden</w:t>
      </w:r>
      <w:r w:rsidR="00F3342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wobei</w:t>
      </w:r>
      <w:r w:rsidRPr="002502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alle übrigen öffentlichen Belange nach § 35 Abs. 3 BauGB von der Prüfung auszunehmen sind.</w:t>
      </w:r>
    </w:p>
    <w:p w14:paraId="056456DE" w14:textId="77777777" w:rsidR="002502A8" w:rsidRDefault="002502A8" w:rsidP="00B54F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Allein aus diesen Punkten ergeben sich keine Umweltauswirkungen. </w:t>
      </w:r>
    </w:p>
    <w:p w14:paraId="189822BB" w14:textId="00C65AEC" w:rsidR="002502A8" w:rsidRPr="002502A8" w:rsidRDefault="005E1BF6" w:rsidP="00B54FE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Eine Verpflichtung zur Durchführung einer Umweltverträglichkeitsprüfung besteht für das begehrte Vorhaben nicht, weil durch den Antragsgegenstand und die damit verbundenen fehlenden standort-/anlagenbedingten Auswirkungen offensichtlich keine erheblich negativen Umweltauswirkungen zu besorgen sind.</w:t>
      </w:r>
    </w:p>
    <w:p w14:paraId="63B1C2B5" w14:textId="77777777" w:rsidR="002502A8" w:rsidRDefault="002502A8" w:rsidP="00B54F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1BAEF4" w14:textId="77777777" w:rsidR="001A5758" w:rsidRDefault="001A5758" w:rsidP="00B54FE7">
      <w:pPr>
        <w:jc w:val="both"/>
        <w:rPr>
          <w:rFonts w:ascii="Arial" w:hAnsi="Arial"/>
          <w:b/>
          <w:i/>
          <w:iCs/>
          <w:sz w:val="22"/>
          <w:szCs w:val="22"/>
        </w:rPr>
      </w:pPr>
    </w:p>
    <w:p w14:paraId="7B557D15" w14:textId="1CFB8569" w:rsidR="00B54FE7" w:rsidRDefault="00B54FE7" w:rsidP="00B54F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EE1879">
        <w:rPr>
          <w:rFonts w:ascii="Arial" w:hAnsi="Arial" w:cs="Arial"/>
          <w:b/>
          <w:sz w:val="22"/>
          <w:szCs w:val="22"/>
        </w:rPr>
        <w:t>Merkmale des Vorhabens Anlage 3 UVPG</w:t>
      </w:r>
    </w:p>
    <w:p w14:paraId="7839C9E9" w14:textId="5C03D565" w:rsidR="00EE1879" w:rsidRDefault="00EE1879" w:rsidP="00B54FE7">
      <w:pPr>
        <w:rPr>
          <w:rFonts w:ascii="Arial" w:hAnsi="Arial" w:cs="Arial"/>
          <w:b/>
          <w:sz w:val="22"/>
          <w:szCs w:val="22"/>
        </w:rPr>
      </w:pPr>
    </w:p>
    <w:p w14:paraId="545C70F7" w14:textId="77777777" w:rsidR="00EE1879" w:rsidRDefault="00EE1879" w:rsidP="00EE1879">
      <w:pPr>
        <w:rPr>
          <w:rFonts w:ascii="Arial" w:hAnsi="Arial" w:cs="Arial"/>
          <w:sz w:val="22"/>
          <w:szCs w:val="22"/>
        </w:rPr>
      </w:pPr>
    </w:p>
    <w:p w14:paraId="23B0EAB5" w14:textId="77777777" w:rsidR="00E06B1F" w:rsidRDefault="00EE1879" w:rsidP="00EE1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1.1 </w:t>
      </w:r>
      <w:r w:rsidR="00E06B1F">
        <w:rPr>
          <w:rFonts w:ascii="Arial" w:hAnsi="Arial" w:cs="Arial"/>
          <w:b/>
          <w:sz w:val="22"/>
          <w:szCs w:val="22"/>
        </w:rPr>
        <w:t xml:space="preserve">Größe und Ausgestaltung des gesamten Vorhabens und, soweit relevant, der </w:t>
      </w:r>
    </w:p>
    <w:p w14:paraId="18437C1D" w14:textId="0A149718" w:rsidR="00EE1879" w:rsidRDefault="00E06B1F" w:rsidP="00EE1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Abrissarbeiten</w:t>
      </w:r>
    </w:p>
    <w:p w14:paraId="6FFD27E5" w14:textId="77777777" w:rsidR="00EE1879" w:rsidRDefault="00EE1879" w:rsidP="00EE1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A1E774F" w14:textId="171716CA" w:rsidR="00EE1879" w:rsidRDefault="00EE1879" w:rsidP="00B54FE7">
      <w:pPr>
        <w:rPr>
          <w:rFonts w:ascii="Arial" w:hAnsi="Arial" w:cs="Arial"/>
          <w:b/>
          <w:sz w:val="22"/>
          <w:szCs w:val="22"/>
        </w:rPr>
      </w:pPr>
    </w:p>
    <w:p w14:paraId="029DCEFD" w14:textId="578B7C58" w:rsidR="00BD709C" w:rsidRDefault="00BD709C" w:rsidP="00B54FE7">
      <w:pPr>
        <w:rPr>
          <w:rFonts w:asciiTheme="minorHAnsi" w:hAnsiTheme="minorHAnsi" w:cstheme="minorHAnsi"/>
          <w:bCs/>
          <w:sz w:val="24"/>
          <w:szCs w:val="24"/>
        </w:rPr>
      </w:pPr>
      <w:r w:rsidRPr="00BD709C">
        <w:rPr>
          <w:rFonts w:asciiTheme="minorHAnsi" w:hAnsiTheme="minorHAnsi" w:cstheme="minorHAnsi"/>
          <w:bCs/>
          <w:sz w:val="24"/>
          <w:szCs w:val="24"/>
        </w:rPr>
        <w:t xml:space="preserve">Die </w:t>
      </w:r>
      <w:r>
        <w:rPr>
          <w:rFonts w:asciiTheme="minorHAnsi" w:hAnsiTheme="minorHAnsi" w:cstheme="minorHAnsi"/>
          <w:bCs/>
          <w:sz w:val="24"/>
          <w:szCs w:val="24"/>
        </w:rPr>
        <w:t xml:space="preserve">Antragstellerin beabsichtigt die Errichtung und den Betrieb von 2 WEA (WEA L1 und WEA L2) in den Gemarkungen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Niederröblingen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und Nienstedt, welche zur Stadt Allstedt im Landkreis Mansfeld-Südharz gehören.</w:t>
      </w:r>
    </w:p>
    <w:p w14:paraId="1D2E22EC" w14:textId="0DFE813E" w:rsidR="0019424D" w:rsidRDefault="0019424D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7E861198" w14:textId="77777777" w:rsidR="0019424D" w:rsidRDefault="0019424D" w:rsidP="0019424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Bei dem geplanten Vorhaben handelt es sich um ein Änderungsvorhaben, da 2 bestehende Windenergieanlagen (WEA) durch leistungsstärkere Anlagen ersetzt werden sollen (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Repowering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). </w:t>
      </w:r>
    </w:p>
    <w:p w14:paraId="68EF246B" w14:textId="39551090" w:rsidR="00BD709C" w:rsidRDefault="00BD709C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70957639" w14:textId="158FA372" w:rsidR="00BD709C" w:rsidRDefault="00BD709C" w:rsidP="00B54FE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Die beiden bestehenden Altanlagen 1 und 2 vom Typ Husumer Schiffswerft HSW 1000/57 mit einer Nennleistung von 1.050 kW, einem Rotordurchmesser von 57 m, einer Nabenhöhe von 70 m und einer Gesamthöhe von 98,5 m sollen durch 2 WEA des Typs ENERCON E-175 EP5 E1, 6</w:t>
      </w:r>
      <w:r w:rsidR="00B640F0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>0 MW Nennleistung, Rotordurchmesser 175 m, Nabenhöhe 162 m und einer Gesamthöhe von 249,5 m ersetzt werden.</w:t>
      </w:r>
    </w:p>
    <w:p w14:paraId="43990099" w14:textId="7ABDECA8" w:rsidR="00FF18EE" w:rsidRPr="009E7AF2" w:rsidRDefault="00BD709C" w:rsidP="00B54FE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Die Abstände zwischen den Bestandsanlagen 1 und 2 und den neuen Anlagen L1 und L2 </w:t>
      </w:r>
      <w:r w:rsidRPr="009E7AF2">
        <w:rPr>
          <w:rFonts w:asciiTheme="minorHAnsi" w:hAnsiTheme="minorHAnsi" w:cstheme="minorHAnsi"/>
          <w:bCs/>
          <w:sz w:val="24"/>
          <w:szCs w:val="24"/>
        </w:rPr>
        <w:t xml:space="preserve">liegen mit </w:t>
      </w:r>
      <w:r w:rsidR="00FF18EE" w:rsidRPr="009E7AF2">
        <w:rPr>
          <w:rFonts w:asciiTheme="minorHAnsi" w:hAnsiTheme="minorHAnsi" w:cstheme="minorHAnsi"/>
          <w:bCs/>
          <w:sz w:val="24"/>
          <w:szCs w:val="24"/>
        </w:rPr>
        <w:t>6</w:t>
      </w:r>
      <w:r w:rsidR="00BB6C46">
        <w:rPr>
          <w:rFonts w:asciiTheme="minorHAnsi" w:hAnsiTheme="minorHAnsi" w:cstheme="minorHAnsi"/>
          <w:bCs/>
          <w:sz w:val="24"/>
          <w:szCs w:val="24"/>
        </w:rPr>
        <w:t>1</w:t>
      </w:r>
      <w:r w:rsidR="00FF18EE" w:rsidRPr="009E7AF2">
        <w:rPr>
          <w:rFonts w:asciiTheme="minorHAnsi" w:hAnsiTheme="minorHAnsi" w:cstheme="minorHAnsi"/>
          <w:bCs/>
          <w:sz w:val="24"/>
          <w:szCs w:val="24"/>
        </w:rPr>
        <w:t xml:space="preserve"> m bzw. </w:t>
      </w:r>
      <w:r w:rsidR="00BB6C46">
        <w:rPr>
          <w:rFonts w:asciiTheme="minorHAnsi" w:hAnsiTheme="minorHAnsi" w:cstheme="minorHAnsi"/>
          <w:bCs/>
          <w:sz w:val="24"/>
          <w:szCs w:val="24"/>
        </w:rPr>
        <w:t>495</w:t>
      </w:r>
      <w:r w:rsidR="00FF18EE" w:rsidRPr="009E7AF2">
        <w:rPr>
          <w:rFonts w:asciiTheme="minorHAnsi" w:hAnsiTheme="minorHAnsi" w:cstheme="minorHAnsi"/>
          <w:bCs/>
          <w:sz w:val="24"/>
          <w:szCs w:val="24"/>
        </w:rPr>
        <w:t xml:space="preserve"> m unter dem nach § 16b Abs. 2 Nr. 2 BImSchG zulässigen Abstand von maximal dem Fünffachen der Gesamthöhe der neuen Anlage (5 x 249,5 m = 1.247,5 m).</w:t>
      </w:r>
    </w:p>
    <w:p w14:paraId="1352B356" w14:textId="2BDF2A88" w:rsidR="00B640F0" w:rsidRPr="009E7AF2" w:rsidRDefault="00B640F0" w:rsidP="00B640F0">
      <w:pPr>
        <w:rPr>
          <w:rFonts w:asciiTheme="minorHAnsi" w:hAnsiTheme="minorHAnsi" w:cstheme="minorHAnsi"/>
          <w:bCs/>
          <w:sz w:val="24"/>
          <w:szCs w:val="24"/>
        </w:rPr>
      </w:pPr>
      <w:r w:rsidRPr="009E7AF2">
        <w:rPr>
          <w:rFonts w:asciiTheme="minorHAnsi" w:hAnsiTheme="minorHAnsi" w:cstheme="minorHAnsi"/>
          <w:bCs/>
          <w:sz w:val="24"/>
          <w:szCs w:val="24"/>
        </w:rPr>
        <w:t xml:space="preserve">Im Rahmen des </w:t>
      </w:r>
      <w:proofErr w:type="spellStart"/>
      <w:r w:rsidRPr="009E7AF2">
        <w:rPr>
          <w:rFonts w:asciiTheme="minorHAnsi" w:hAnsiTheme="minorHAnsi" w:cstheme="minorHAnsi"/>
          <w:bCs/>
          <w:sz w:val="24"/>
          <w:szCs w:val="24"/>
        </w:rPr>
        <w:t>Repoweringvorhabens</w:t>
      </w:r>
      <w:proofErr w:type="spellEnd"/>
      <w:r w:rsidRPr="009E7AF2">
        <w:rPr>
          <w:rFonts w:asciiTheme="minorHAnsi" w:hAnsiTheme="minorHAnsi" w:cstheme="minorHAnsi"/>
          <w:bCs/>
          <w:sz w:val="24"/>
          <w:szCs w:val="24"/>
        </w:rPr>
        <w:t xml:space="preserve"> werden die 2 Altanlagen vollständig zurückgebaut.</w:t>
      </w:r>
    </w:p>
    <w:p w14:paraId="2B6F70E2" w14:textId="33F66F9B" w:rsidR="0019424D" w:rsidRPr="009E7AF2" w:rsidRDefault="0019424D" w:rsidP="00B640F0">
      <w:pPr>
        <w:rPr>
          <w:rFonts w:asciiTheme="minorHAnsi" w:hAnsiTheme="minorHAnsi" w:cstheme="minorHAnsi"/>
          <w:bCs/>
          <w:sz w:val="24"/>
          <w:szCs w:val="24"/>
        </w:rPr>
      </w:pPr>
      <w:r w:rsidRPr="009E7AF2">
        <w:rPr>
          <w:rFonts w:asciiTheme="minorHAnsi" w:hAnsiTheme="minorHAnsi" w:cstheme="minorHAnsi"/>
          <w:bCs/>
          <w:sz w:val="24"/>
          <w:szCs w:val="24"/>
        </w:rPr>
        <w:t>Die Antragstellerin verpflichtet sich zum Rückbau der Altanlagen und zur Errichtung der neuen WEA innerhalb von 48 Monaten nach dem Rückbau.</w:t>
      </w:r>
    </w:p>
    <w:p w14:paraId="4991E628" w14:textId="77777777" w:rsidR="005035AB" w:rsidRDefault="005035AB" w:rsidP="00B640F0">
      <w:pPr>
        <w:rPr>
          <w:rFonts w:asciiTheme="minorHAnsi" w:hAnsiTheme="minorHAnsi" w:cstheme="minorHAnsi"/>
          <w:bCs/>
          <w:sz w:val="24"/>
          <w:szCs w:val="24"/>
        </w:rPr>
      </w:pPr>
    </w:p>
    <w:p w14:paraId="4609C2CA" w14:textId="7E4C20C3" w:rsidR="005035AB" w:rsidRPr="00B640F0" w:rsidRDefault="005035AB" w:rsidP="00B640F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Die Abrissarbeiten sind nicht Gegenstand des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F03A6D0" w14:textId="77777777" w:rsidR="00B640F0" w:rsidRDefault="00B640F0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51F18ACC" w14:textId="77777777" w:rsidR="00BF6D85" w:rsidRDefault="00FF18EE" w:rsidP="00B54FE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Die beiden Altanlagen und die geplanten Standorte der beiden Neuanlagen liegen südlich (unterhalb) der, in diesem Abschnitt in ost-westlicher Richtung verlaufenden, Autobahn </w:t>
      </w:r>
    </w:p>
    <w:p w14:paraId="7F88F15D" w14:textId="3821AB2B" w:rsidR="00FF18EE" w:rsidRDefault="00FF18EE" w:rsidP="00B54FE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38. Nördlich (oberhalb der A 38 befinden sich weitere Bestandsanlagen, die zum Windpark </w:t>
      </w:r>
      <w:r w:rsidR="00BF6D85">
        <w:rPr>
          <w:rFonts w:asciiTheme="minorHAnsi" w:hAnsiTheme="minorHAnsi" w:cstheme="minorHAnsi"/>
          <w:bCs/>
          <w:sz w:val="24"/>
          <w:szCs w:val="24"/>
        </w:rPr>
        <w:t>VRG/EG Nr. VII „Sotterhausen“</w:t>
      </w:r>
      <w:r>
        <w:rPr>
          <w:rFonts w:asciiTheme="minorHAnsi" w:hAnsiTheme="minorHAnsi" w:cstheme="minorHAnsi"/>
          <w:bCs/>
          <w:sz w:val="24"/>
          <w:szCs w:val="24"/>
        </w:rPr>
        <w:t xml:space="preserve"> gehören.</w:t>
      </w:r>
    </w:p>
    <w:p w14:paraId="068F3005" w14:textId="660BFA28" w:rsidR="00FF18EE" w:rsidRDefault="00FF18EE" w:rsidP="00B54FE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Die zwei neugeplanten WEA liegen östlich der Ortslage von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Niederröblingen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 Zum Norden hin grenzen die A38, sowie östlich die L222 an das Vorhabengebiet.</w:t>
      </w:r>
    </w:p>
    <w:p w14:paraId="6E848A0B" w14:textId="77777777" w:rsidR="00B640F0" w:rsidRDefault="00B640F0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4055BF88" w14:textId="34A19900" w:rsidR="00EE1879" w:rsidRDefault="00EE1879" w:rsidP="00B54FE7">
      <w:pPr>
        <w:rPr>
          <w:rFonts w:ascii="Arial" w:hAnsi="Arial" w:cs="Arial"/>
          <w:b/>
          <w:sz w:val="22"/>
          <w:szCs w:val="22"/>
        </w:rPr>
      </w:pPr>
    </w:p>
    <w:p w14:paraId="741C03C1" w14:textId="77777777" w:rsidR="00815D97" w:rsidRDefault="00815D97" w:rsidP="0081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1.2 Zusammenwirken mit anderen bestehenden oder zugelassenen Vorhaben und</w:t>
      </w:r>
    </w:p>
    <w:p w14:paraId="7AA952A8" w14:textId="1ED88CC5" w:rsidR="00815D97" w:rsidRDefault="00815D97" w:rsidP="0081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Tätigkeiten</w:t>
      </w:r>
    </w:p>
    <w:p w14:paraId="4CD4F0F0" w14:textId="77777777" w:rsidR="00815D97" w:rsidRDefault="00815D97" w:rsidP="0081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7EBE2A21" w14:textId="77777777" w:rsidR="0019424D" w:rsidRDefault="0019424D" w:rsidP="0019424D">
      <w:pPr>
        <w:rPr>
          <w:rFonts w:asciiTheme="minorHAnsi" w:hAnsiTheme="minorHAnsi" w:cstheme="minorHAnsi"/>
          <w:bCs/>
          <w:sz w:val="24"/>
          <w:szCs w:val="24"/>
        </w:rPr>
      </w:pPr>
    </w:p>
    <w:p w14:paraId="508BF736" w14:textId="4DEDE9AE" w:rsidR="004E1D13" w:rsidRDefault="0019424D" w:rsidP="0019424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Der Einwirkbereich der geplanten WEA</w:t>
      </w:r>
      <w:r w:rsidR="00AA2F2E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="00AA2F2E">
        <w:rPr>
          <w:rFonts w:asciiTheme="minorHAnsi" w:hAnsiTheme="minorHAnsi" w:cstheme="minorHAnsi"/>
          <w:bCs/>
          <w:sz w:val="24"/>
          <w:szCs w:val="24"/>
        </w:rPr>
        <w:t>Repowering</w:t>
      </w:r>
      <w:proofErr w:type="spellEnd"/>
      <w:r w:rsidR="00AA2F2E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 xml:space="preserve"> überschneidet sich mit 11 weiteren WEA</w:t>
      </w:r>
      <w:r w:rsidR="00BB6C46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von denen sich 9 WEA nördlich der A 38 im VRG/EG Nr. VII „Sotterhausen“ REP Harz (2009) befinden und </w:t>
      </w:r>
      <w:r w:rsidR="00A876D6" w:rsidRPr="00A876D6">
        <w:rPr>
          <w:rFonts w:asciiTheme="minorHAnsi" w:hAnsiTheme="minorHAnsi" w:cstheme="minorHAnsi"/>
          <w:bCs/>
          <w:sz w:val="24"/>
          <w:szCs w:val="24"/>
        </w:rPr>
        <w:t>4</w:t>
      </w:r>
      <w:r w:rsidRPr="00A876D6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weitere WEA geplant werden</w:t>
      </w:r>
      <w:r w:rsidR="00BB6C46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für die die derzeitige Änderung des geltenden FNP der Stadt Allstedt dient und bereits die Beteiligung in einem Vorentwurf, hier zum B-Plan Nr. 37 der Stadt Allstedt, erfolgte. </w:t>
      </w:r>
    </w:p>
    <w:p w14:paraId="0C01D3A8" w14:textId="21E95071" w:rsidR="0019424D" w:rsidRDefault="0019424D" w:rsidP="0019424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Für die 9 WEA des VRG/EG Nr. VII „Sotterhausen“ wurde keine UVP durchgeführt</w:t>
      </w:r>
      <w:r w:rsidR="00AA2F2E">
        <w:rPr>
          <w:rFonts w:asciiTheme="minorHAnsi" w:hAnsiTheme="minorHAnsi" w:cstheme="minorHAnsi"/>
          <w:bCs/>
          <w:sz w:val="24"/>
          <w:szCs w:val="24"/>
        </w:rPr>
        <w:t xml:space="preserve"> und ebenso nicht für die </w:t>
      </w:r>
      <w:r w:rsidR="00A00D70">
        <w:rPr>
          <w:rFonts w:asciiTheme="minorHAnsi" w:hAnsiTheme="minorHAnsi" w:cstheme="minorHAnsi"/>
          <w:bCs/>
          <w:sz w:val="24"/>
          <w:szCs w:val="24"/>
        </w:rPr>
        <w:t xml:space="preserve">2 </w:t>
      </w:r>
      <w:r w:rsidR="00AA2F2E">
        <w:rPr>
          <w:rFonts w:asciiTheme="minorHAnsi" w:hAnsiTheme="minorHAnsi" w:cstheme="minorHAnsi"/>
          <w:bCs/>
          <w:sz w:val="24"/>
          <w:szCs w:val="24"/>
        </w:rPr>
        <w:t xml:space="preserve">Bestandsanlagen, die </w:t>
      </w:r>
      <w:proofErr w:type="spellStart"/>
      <w:r w:rsidR="00AA2F2E">
        <w:rPr>
          <w:rFonts w:asciiTheme="minorHAnsi" w:hAnsiTheme="minorHAnsi" w:cstheme="minorHAnsi"/>
          <w:bCs/>
          <w:sz w:val="24"/>
          <w:szCs w:val="24"/>
        </w:rPr>
        <w:t>repowert</w:t>
      </w:r>
      <w:proofErr w:type="spellEnd"/>
      <w:r w:rsidR="00AA2F2E">
        <w:rPr>
          <w:rFonts w:asciiTheme="minorHAnsi" w:hAnsiTheme="minorHAnsi" w:cstheme="minorHAnsi"/>
          <w:bCs/>
          <w:sz w:val="24"/>
          <w:szCs w:val="24"/>
        </w:rPr>
        <w:t xml:space="preserve"> werden sollen. Auch für die </w:t>
      </w:r>
      <w:r w:rsidR="00A876D6">
        <w:rPr>
          <w:rFonts w:asciiTheme="minorHAnsi" w:hAnsiTheme="minorHAnsi" w:cstheme="minorHAnsi"/>
          <w:bCs/>
          <w:sz w:val="24"/>
          <w:szCs w:val="24"/>
        </w:rPr>
        <w:t>4</w:t>
      </w:r>
      <w:r w:rsidR="00AA2F2E">
        <w:rPr>
          <w:rFonts w:asciiTheme="minorHAnsi" w:hAnsiTheme="minorHAnsi" w:cstheme="minorHAnsi"/>
          <w:bCs/>
          <w:sz w:val="24"/>
          <w:szCs w:val="24"/>
        </w:rPr>
        <w:t xml:space="preserve"> WEA für die mit dem B-Plan Nr. 37 der Stadt Allstedt die planungsrechtliche Zulässigkeit gesichert werden soll, wurde </w:t>
      </w:r>
      <w:r w:rsidR="00875CD0">
        <w:rPr>
          <w:rFonts w:asciiTheme="minorHAnsi" w:hAnsiTheme="minorHAnsi" w:cstheme="minorHAnsi"/>
          <w:bCs/>
          <w:sz w:val="24"/>
          <w:szCs w:val="24"/>
        </w:rPr>
        <w:t xml:space="preserve">bisher </w:t>
      </w:r>
      <w:r w:rsidR="00AA2F2E">
        <w:rPr>
          <w:rFonts w:asciiTheme="minorHAnsi" w:hAnsiTheme="minorHAnsi" w:cstheme="minorHAnsi"/>
          <w:bCs/>
          <w:sz w:val="24"/>
          <w:szCs w:val="24"/>
        </w:rPr>
        <w:t>keine UVP-Prüfung durchgeführt</w:t>
      </w:r>
      <w:r w:rsidR="00875CD0">
        <w:rPr>
          <w:rFonts w:asciiTheme="minorHAnsi" w:hAnsiTheme="minorHAnsi" w:cstheme="minorHAnsi"/>
          <w:bCs/>
          <w:sz w:val="24"/>
          <w:szCs w:val="24"/>
        </w:rPr>
        <w:t xml:space="preserve"> und auch keine Zulassungsentscheidung getroffen.</w:t>
      </w:r>
      <w:r w:rsidR="00AA2F2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D2AFBD9" w14:textId="00FF82AD" w:rsidR="00BF6D85" w:rsidRDefault="0019424D" w:rsidP="0019424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Zusammen bilden diese 1</w:t>
      </w:r>
      <w:r w:rsidR="009E7AF2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WEA eine Windfarm im Sinne des § 2 Abs. 5 UVPG</w:t>
      </w:r>
      <w:r w:rsidR="00154E1F">
        <w:rPr>
          <w:rFonts w:asciiTheme="minorHAnsi" w:hAnsiTheme="minorHAnsi" w:cstheme="minorHAnsi"/>
          <w:bCs/>
          <w:sz w:val="24"/>
          <w:szCs w:val="24"/>
        </w:rPr>
        <w:t xml:space="preserve"> für die noch keine UVP durchgeführt wurde.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0896FCA" w14:textId="77777777" w:rsidR="00BF6D85" w:rsidRDefault="0019424D" w:rsidP="001942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Damit ist das Änderungsvorhaben genehmigungspflichtig nach Anhang 1 Nr. 1.6.2 V der 4. BImSchV, hier Anlagen</w:t>
      </w:r>
      <w:r>
        <w:rPr>
          <w:rFonts w:asciiTheme="minorHAnsi" w:hAnsiTheme="minorHAnsi" w:cstheme="minorHAnsi"/>
          <w:sz w:val="24"/>
          <w:szCs w:val="24"/>
        </w:rPr>
        <w:t xml:space="preserve"> zur Nutzung von Windenergie mit einer Gesamthöhe von mehr als </w:t>
      </w:r>
    </w:p>
    <w:p w14:paraId="26B12BFD" w14:textId="406B7EEA" w:rsidR="00154E1F" w:rsidRDefault="0019424D" w:rsidP="001942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50 m und weniger als 20 Windkraftanlagen</w:t>
      </w:r>
      <w:r w:rsidR="00154E1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DE1E92" w14:textId="6544D48D" w:rsidR="004E1D13" w:rsidRDefault="004E1D13" w:rsidP="001942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9 UVPG, der die UVP-Pflicht bei Änderungsverfahren regelt, wie hier gegeben, ist als speziellere Vorschrift vorrangig (keine kumulierenden Vorhaben!).</w:t>
      </w:r>
    </w:p>
    <w:p w14:paraId="192365E8" w14:textId="389C88BC" w:rsidR="00A74C4A" w:rsidRDefault="00154E1F" w:rsidP="00FD337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Gemäß § 9 Abs. 2 UVPG Satz 1 Nr. 2 besteht für das Änderungsvorhaben die UVP-Pflicht, wenn der in Anlage 1 des UVPG angegebene Prüfwert für die Vorprüfung erstmals oder erneut erreicht oder überschreitet und eine Vorprüfung ergibt, </w:t>
      </w:r>
      <w:r w:rsidR="00A74C4A">
        <w:rPr>
          <w:rFonts w:asciiTheme="minorHAnsi" w:hAnsiTheme="minorHAnsi" w:cstheme="minorHAnsi"/>
          <w:sz w:val="24"/>
          <w:szCs w:val="24"/>
        </w:rPr>
        <w:t>dass die Änderung erhebliche nachteilige Umweltauswirkungen hervorrufen kann</w:t>
      </w:r>
      <w:r w:rsidR="00A6587F">
        <w:rPr>
          <w:rFonts w:asciiTheme="minorHAnsi" w:hAnsiTheme="minorHAnsi" w:cstheme="minorHAnsi"/>
          <w:sz w:val="24"/>
          <w:szCs w:val="24"/>
        </w:rPr>
        <w:t xml:space="preserve"> (</w:t>
      </w:r>
      <w:r w:rsidR="00A74C4A">
        <w:rPr>
          <w:rFonts w:asciiTheme="minorHAnsi" w:hAnsiTheme="minorHAnsi" w:cstheme="minorHAnsi"/>
          <w:bCs/>
          <w:sz w:val="24"/>
          <w:szCs w:val="24"/>
        </w:rPr>
        <w:t>allgemeine Vorprüfung</w:t>
      </w:r>
      <w:r w:rsidR="00A6587F">
        <w:rPr>
          <w:rFonts w:asciiTheme="minorHAnsi" w:hAnsiTheme="minorHAnsi" w:cstheme="minorHAnsi"/>
          <w:bCs/>
          <w:sz w:val="24"/>
          <w:szCs w:val="24"/>
        </w:rPr>
        <w:t>)</w:t>
      </w:r>
      <w:r w:rsidR="00A74C4A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D6EB02" w14:textId="05D270EE" w:rsidR="004E1D13" w:rsidRDefault="00725E4B" w:rsidP="00FD337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Mit 1</w:t>
      </w:r>
      <w:r w:rsidR="009E7AF2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Anlagen der gleichen Art (WEA) im Einwirkungsbereich wird der in Anlage 1 des UVPG angegebene Prüfwert für die </w:t>
      </w:r>
      <w:r w:rsidR="003E5A02">
        <w:rPr>
          <w:rFonts w:asciiTheme="minorHAnsi" w:hAnsiTheme="minorHAnsi" w:cstheme="minorHAnsi"/>
          <w:sz w:val="24"/>
          <w:szCs w:val="24"/>
        </w:rPr>
        <w:t xml:space="preserve">allgemeine </w:t>
      </w:r>
      <w:r>
        <w:rPr>
          <w:rFonts w:asciiTheme="minorHAnsi" w:hAnsiTheme="minorHAnsi" w:cstheme="minorHAnsi"/>
          <w:sz w:val="24"/>
          <w:szCs w:val="24"/>
        </w:rPr>
        <w:t>Vorprüfung</w:t>
      </w:r>
      <w:r w:rsidR="003E5A02">
        <w:rPr>
          <w:rFonts w:asciiTheme="minorHAnsi" w:hAnsiTheme="minorHAnsi" w:cstheme="minorHAnsi"/>
          <w:sz w:val="24"/>
          <w:szCs w:val="24"/>
        </w:rPr>
        <w:t xml:space="preserve"> </w:t>
      </w:r>
      <w:r w:rsidR="003E5A02">
        <w:rPr>
          <w:rFonts w:ascii="Calibri" w:hAnsi="Calibri" w:cs="Calibri"/>
          <w:bCs/>
          <w:sz w:val="24"/>
          <w:szCs w:val="24"/>
        </w:rPr>
        <w:t xml:space="preserve">(vorbehaltlich § 6 Windenergieflächenbedarfsgesetz - </w:t>
      </w:r>
      <w:proofErr w:type="spellStart"/>
      <w:r w:rsidR="003E5A02">
        <w:rPr>
          <w:rFonts w:ascii="Calibri" w:hAnsi="Calibri" w:cs="Calibri"/>
          <w:bCs/>
          <w:sz w:val="24"/>
          <w:szCs w:val="24"/>
        </w:rPr>
        <w:t>WindBG</w:t>
      </w:r>
      <w:proofErr w:type="spellEnd"/>
      <w:r w:rsidR="003E5A02">
        <w:rPr>
          <w:rFonts w:ascii="Calibri" w:hAnsi="Calibri" w:cs="Calibri"/>
          <w:bCs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E5A02">
        <w:rPr>
          <w:rFonts w:asciiTheme="minorHAnsi" w:hAnsiTheme="minorHAnsi" w:cstheme="minorHAnsi"/>
          <w:sz w:val="24"/>
          <w:szCs w:val="24"/>
        </w:rPr>
        <w:t>erneut</w:t>
      </w:r>
      <w:r>
        <w:rPr>
          <w:rFonts w:asciiTheme="minorHAnsi" w:hAnsiTheme="minorHAnsi" w:cstheme="minorHAnsi"/>
          <w:sz w:val="24"/>
          <w:szCs w:val="24"/>
        </w:rPr>
        <w:t xml:space="preserve"> überschritten.</w:t>
      </w:r>
    </w:p>
    <w:p w14:paraId="27255CAF" w14:textId="5F6175D2" w:rsidR="003E1CED" w:rsidRPr="003E1CED" w:rsidRDefault="003E1CED" w:rsidP="00FD3377">
      <w:pPr>
        <w:rPr>
          <w:rFonts w:asciiTheme="minorHAnsi" w:hAnsiTheme="minorHAnsi" w:cstheme="minorHAnsi"/>
          <w:bCs/>
          <w:sz w:val="24"/>
          <w:szCs w:val="24"/>
        </w:rPr>
      </w:pPr>
    </w:p>
    <w:p w14:paraId="2AE32970" w14:textId="51FA0A59" w:rsidR="00C51153" w:rsidRDefault="003E1CED" w:rsidP="003E1CED">
      <w:pPr>
        <w:widowControl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1CED">
        <w:rPr>
          <w:rFonts w:asciiTheme="minorHAnsi" w:hAnsiTheme="minorHAnsi" w:cstheme="minorHAnsi"/>
          <w:bCs/>
          <w:snapToGrid w:val="0"/>
          <w:sz w:val="24"/>
          <w:szCs w:val="24"/>
        </w:rPr>
        <w:t>Weiterhin befinden sich die neue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n</w:t>
      </w:r>
      <w:r w:rsidRPr="003E1CE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WEA in unmittelbarer Nähe zum </w:t>
      </w:r>
      <w:r w:rsidRPr="003E1CED">
        <w:rPr>
          <w:rFonts w:asciiTheme="minorHAnsi" w:hAnsiTheme="minorHAnsi" w:cstheme="minorHAnsi"/>
          <w:snapToGrid w:val="0"/>
          <w:sz w:val="24"/>
          <w:szCs w:val="24"/>
        </w:rPr>
        <w:t>Planfeststellungsverfahren Vorhaben 44- Netzanbindung Südharz/Abschnitt Nord „Höchstspannungsleitung Schraplau-</w:t>
      </w:r>
      <w:proofErr w:type="spellStart"/>
      <w:r w:rsidRPr="003E1CED">
        <w:rPr>
          <w:rFonts w:asciiTheme="minorHAnsi" w:hAnsiTheme="minorHAnsi" w:cstheme="minorHAnsi"/>
          <w:snapToGrid w:val="0"/>
          <w:sz w:val="24"/>
          <w:szCs w:val="24"/>
        </w:rPr>
        <w:t>Vieselbach</w:t>
      </w:r>
      <w:proofErr w:type="spellEnd"/>
      <w:r w:rsidRPr="003E1CED">
        <w:rPr>
          <w:rFonts w:asciiTheme="minorHAnsi" w:hAnsiTheme="minorHAnsi" w:cstheme="minorHAnsi"/>
          <w:snapToGrid w:val="0"/>
          <w:sz w:val="24"/>
          <w:szCs w:val="24"/>
        </w:rPr>
        <w:t>; Nennspannung 380 kV“ (50 Hertz).</w:t>
      </w:r>
      <w:r w:rsidR="00A74C4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B8500F" w14:textId="77777777" w:rsidR="003E1CED" w:rsidRDefault="003E1CED" w:rsidP="00FD3377">
      <w:pPr>
        <w:rPr>
          <w:rFonts w:asciiTheme="minorHAnsi" w:hAnsiTheme="minorHAnsi" w:cstheme="minorHAnsi"/>
          <w:bCs/>
          <w:sz w:val="24"/>
          <w:szCs w:val="24"/>
        </w:rPr>
      </w:pPr>
    </w:p>
    <w:p w14:paraId="4ECB6EAD" w14:textId="77777777" w:rsidR="00C51153" w:rsidRDefault="00C51153" w:rsidP="00FD3377">
      <w:pPr>
        <w:rPr>
          <w:rFonts w:asciiTheme="minorHAnsi" w:hAnsiTheme="minorHAnsi" w:cstheme="minorHAnsi"/>
          <w:bCs/>
          <w:sz w:val="24"/>
          <w:szCs w:val="24"/>
        </w:rPr>
      </w:pPr>
    </w:p>
    <w:p w14:paraId="20AB5D54" w14:textId="77777777" w:rsidR="00D12853" w:rsidRPr="00F7477A" w:rsidRDefault="00D12853" w:rsidP="00D1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>1.3 Nutzung natürlicher Ressourcen, insbesondere Fläche, Boden, Wasser, Tiere,</w:t>
      </w:r>
    </w:p>
    <w:p w14:paraId="090D6DE2" w14:textId="58715FC4" w:rsidR="00EE1879" w:rsidRPr="00F7477A" w:rsidRDefault="00D12853" w:rsidP="00D12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7477A">
        <w:rPr>
          <w:rFonts w:asciiTheme="minorHAnsi" w:hAnsiTheme="minorHAnsi" w:cstheme="minorHAnsi"/>
          <w:b/>
          <w:sz w:val="24"/>
          <w:szCs w:val="24"/>
        </w:rPr>
        <w:t>Pflanzen und biologische Vielfalt</w:t>
      </w:r>
      <w:r w:rsidRPr="00F7477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B3E50F5" w14:textId="528A17D2" w:rsidR="00EE1879" w:rsidRDefault="00EE1879" w:rsidP="00B54FE7">
      <w:pPr>
        <w:rPr>
          <w:rFonts w:ascii="Arial" w:hAnsi="Arial" w:cs="Arial"/>
          <w:b/>
          <w:sz w:val="22"/>
          <w:szCs w:val="22"/>
        </w:rPr>
      </w:pPr>
    </w:p>
    <w:p w14:paraId="08ADE620" w14:textId="77777777" w:rsidR="003E1CED" w:rsidRPr="005824FF" w:rsidRDefault="003E1CED" w:rsidP="003E1CED">
      <w:pPr>
        <w:rPr>
          <w:rFonts w:asciiTheme="minorHAnsi" w:hAnsiTheme="minorHAnsi" w:cstheme="minorHAnsi"/>
          <w:bCs/>
          <w:sz w:val="24"/>
          <w:szCs w:val="24"/>
        </w:rPr>
      </w:pPr>
      <w:r w:rsidRPr="005824FF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5824FF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5824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05770E1C" w14:textId="4364F2BB" w:rsidR="00F34405" w:rsidRPr="005824FF" w:rsidRDefault="00F34405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12C0D05F" w14:textId="0A067739" w:rsidR="00F34405" w:rsidRPr="005824FF" w:rsidRDefault="00F34405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382D4554" w14:textId="77777777" w:rsidR="00F34405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1.4 Erzeugung von Abfällen im Sinne von § 3 Abs. 1 und 8 des  </w:t>
      </w:r>
    </w:p>
    <w:p w14:paraId="35188DB7" w14:textId="1073B9F3" w:rsidR="00F34405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 Kreislaufwirtschaftsgesetzes</w:t>
      </w:r>
    </w:p>
    <w:p w14:paraId="48BD8439" w14:textId="77777777" w:rsidR="003E1CED" w:rsidRPr="005824FF" w:rsidRDefault="003E1CED" w:rsidP="00A6587F">
      <w:pPr>
        <w:rPr>
          <w:rFonts w:asciiTheme="minorHAnsi" w:hAnsiTheme="minorHAnsi" w:cstheme="minorHAnsi"/>
          <w:bCs/>
          <w:sz w:val="24"/>
          <w:szCs w:val="24"/>
        </w:rPr>
      </w:pPr>
    </w:p>
    <w:p w14:paraId="65DC419B" w14:textId="0C3E2FD4" w:rsidR="00A6587F" w:rsidRPr="005824FF" w:rsidRDefault="00A6587F" w:rsidP="00A6587F">
      <w:pPr>
        <w:rPr>
          <w:rFonts w:asciiTheme="minorHAnsi" w:hAnsiTheme="minorHAnsi" w:cstheme="minorHAnsi"/>
          <w:bCs/>
          <w:sz w:val="24"/>
          <w:szCs w:val="24"/>
        </w:rPr>
      </w:pPr>
      <w:r w:rsidRPr="005824FF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5824FF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5824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2CBF48C7" w14:textId="4157B3C3" w:rsidR="00EE1879" w:rsidRPr="005824FF" w:rsidRDefault="00EE1879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19DD98AC" w14:textId="6536BD0C" w:rsidR="00EE1879" w:rsidRPr="005824FF" w:rsidRDefault="00EE1879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47F99190" w14:textId="48CE1A82" w:rsidR="00F34405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>1.5 Umweltverschmutzungen und Belästigungen</w:t>
      </w:r>
    </w:p>
    <w:p w14:paraId="4C52268A" w14:textId="77777777" w:rsidR="00F34405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22F6F969" w14:textId="77777777" w:rsidR="003E1CED" w:rsidRPr="005824FF" w:rsidRDefault="003E1CED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7FFF68E5" w14:textId="77CB0164" w:rsidR="00EE1879" w:rsidRPr="005824FF" w:rsidRDefault="0019424D" w:rsidP="00B54FE7">
      <w:pPr>
        <w:rPr>
          <w:rFonts w:asciiTheme="minorHAnsi" w:hAnsiTheme="minorHAnsi" w:cstheme="minorHAnsi"/>
          <w:bCs/>
          <w:sz w:val="24"/>
          <w:szCs w:val="24"/>
        </w:rPr>
      </w:pPr>
      <w:r w:rsidRPr="005824FF">
        <w:rPr>
          <w:rFonts w:asciiTheme="minorHAnsi" w:hAnsiTheme="minorHAnsi" w:cstheme="minorHAnsi"/>
          <w:bCs/>
          <w:sz w:val="24"/>
          <w:szCs w:val="24"/>
        </w:rPr>
        <w:t xml:space="preserve">Ist nicht </w:t>
      </w:r>
      <w:r w:rsidR="00A6587F" w:rsidRPr="005824FF">
        <w:rPr>
          <w:rFonts w:asciiTheme="minorHAnsi" w:hAnsiTheme="minorHAnsi" w:cstheme="minorHAnsi"/>
          <w:bCs/>
          <w:sz w:val="24"/>
          <w:szCs w:val="24"/>
        </w:rPr>
        <w:t>G</w:t>
      </w:r>
      <w:r w:rsidRPr="005824FF">
        <w:rPr>
          <w:rFonts w:asciiTheme="minorHAnsi" w:hAnsiTheme="minorHAnsi" w:cstheme="minorHAnsi"/>
          <w:bCs/>
          <w:sz w:val="24"/>
          <w:szCs w:val="24"/>
        </w:rPr>
        <w:t xml:space="preserve">egenstand des </w:t>
      </w:r>
      <w:proofErr w:type="spellStart"/>
      <w:r w:rsidRPr="005824FF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="00A6587F" w:rsidRPr="005824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420147C6" w14:textId="77777777" w:rsidR="003E1CED" w:rsidRPr="005824FF" w:rsidRDefault="003E1CED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08290AA1" w14:textId="298975E4" w:rsidR="00F34405" w:rsidRPr="005824FF" w:rsidRDefault="00F34405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662D1F20" w14:textId="77777777" w:rsidR="00906467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1.6 </w:t>
      </w:r>
      <w:r w:rsidR="00FF4229" w:rsidRPr="005824FF">
        <w:rPr>
          <w:rFonts w:asciiTheme="minorHAnsi" w:hAnsiTheme="minorHAnsi" w:cstheme="minorHAnsi"/>
          <w:b/>
          <w:sz w:val="24"/>
          <w:szCs w:val="24"/>
        </w:rPr>
        <w:t>Risiken von Störfällen, Unfällen und Katastrophen</w:t>
      </w:r>
      <w:r w:rsidR="00906467" w:rsidRPr="005824FF">
        <w:rPr>
          <w:rFonts w:asciiTheme="minorHAnsi" w:hAnsiTheme="minorHAnsi" w:cstheme="minorHAnsi"/>
          <w:b/>
          <w:sz w:val="24"/>
          <w:szCs w:val="24"/>
        </w:rPr>
        <w:t>, die für das Vorhaben von</w:t>
      </w:r>
    </w:p>
    <w:p w14:paraId="675808BC" w14:textId="77777777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 Bedeutung sind, einschließlich der Störfälle, Unfälle und Katastrophen, die </w:t>
      </w:r>
    </w:p>
    <w:p w14:paraId="703BAACC" w14:textId="77777777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 wissenschaftlichen Erkenntnissen zufolge durch den Klimawandel bedingt sind, </w:t>
      </w:r>
    </w:p>
    <w:p w14:paraId="557888E1" w14:textId="7EFF57A9" w:rsidR="00F34405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 insbesondere mit Blick auf:</w:t>
      </w:r>
    </w:p>
    <w:p w14:paraId="1B963CE2" w14:textId="49503F8D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>1.6.1 verwendete Stoffe und Technologien,</w:t>
      </w:r>
    </w:p>
    <w:p w14:paraId="4D4E7BC7" w14:textId="77777777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>1.6.2 die Anfälligkeit des Vorhabens für Störfälle im Sinne des § 2 Nr. 7 der Störfall-</w:t>
      </w:r>
    </w:p>
    <w:p w14:paraId="01A7003D" w14:textId="42B1474A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</w:t>
      </w:r>
      <w:proofErr w:type="spellStart"/>
      <w:r w:rsidRPr="005824FF">
        <w:rPr>
          <w:rFonts w:asciiTheme="minorHAnsi" w:hAnsiTheme="minorHAnsi" w:cstheme="minorHAnsi"/>
          <w:b/>
          <w:sz w:val="24"/>
          <w:szCs w:val="24"/>
        </w:rPr>
        <w:t>verordnung</w:t>
      </w:r>
      <w:proofErr w:type="spellEnd"/>
      <w:r w:rsidRPr="005824FF">
        <w:rPr>
          <w:rFonts w:asciiTheme="minorHAnsi" w:hAnsiTheme="minorHAnsi" w:cstheme="minorHAnsi"/>
          <w:b/>
          <w:sz w:val="24"/>
          <w:szCs w:val="24"/>
        </w:rPr>
        <w:t xml:space="preserve">, insbesondere aufgrund seiner Verwirklichung innerhalb des </w:t>
      </w:r>
    </w:p>
    <w:p w14:paraId="324CA33B" w14:textId="2608BB93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angemessenen Sicherheitsabstandes zu Betriebsbereichen im Sinne des § 3 </w:t>
      </w:r>
    </w:p>
    <w:p w14:paraId="26A2F118" w14:textId="3810BA23" w:rsidR="00906467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Abs. 5a des Bundes-Immissionsschutzgesetzes</w:t>
      </w:r>
    </w:p>
    <w:p w14:paraId="0C2807AB" w14:textId="77777777" w:rsidR="00F34405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197C7689" w14:textId="5EF7A1AF" w:rsidR="00F34405" w:rsidRPr="005824FF" w:rsidRDefault="00F34405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6C12427F" w14:textId="77777777" w:rsidR="003E1CED" w:rsidRPr="005824FF" w:rsidRDefault="003E1CED" w:rsidP="003E1CED">
      <w:pPr>
        <w:rPr>
          <w:rFonts w:asciiTheme="minorHAnsi" w:hAnsiTheme="minorHAnsi" w:cstheme="minorHAnsi"/>
          <w:bCs/>
          <w:sz w:val="24"/>
          <w:szCs w:val="24"/>
        </w:rPr>
      </w:pPr>
      <w:r w:rsidRPr="005824FF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5824FF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5824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2178EC51" w14:textId="6AC35D8A" w:rsidR="00906467" w:rsidRPr="005824FF" w:rsidRDefault="00906467" w:rsidP="00B54FE7">
      <w:pPr>
        <w:rPr>
          <w:rFonts w:asciiTheme="minorHAnsi" w:hAnsiTheme="minorHAnsi" w:cstheme="minorHAnsi"/>
          <w:bCs/>
          <w:sz w:val="24"/>
          <w:szCs w:val="24"/>
        </w:rPr>
      </w:pPr>
    </w:p>
    <w:p w14:paraId="4A875BA4" w14:textId="77777777" w:rsidR="00906467" w:rsidRPr="005824FF" w:rsidRDefault="00906467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14E54A07" w14:textId="77777777" w:rsidR="00906467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>1.7</w:t>
      </w:r>
      <w:r w:rsidR="00906467" w:rsidRPr="005824FF">
        <w:rPr>
          <w:rFonts w:asciiTheme="minorHAnsi" w:hAnsiTheme="minorHAnsi" w:cstheme="minorHAnsi"/>
          <w:b/>
          <w:sz w:val="24"/>
          <w:szCs w:val="24"/>
        </w:rPr>
        <w:t xml:space="preserve"> Risiken für die Menschliche Gesundheit, z. B. durch Verunreinigung von Wasser</w:t>
      </w:r>
    </w:p>
    <w:p w14:paraId="6B74CE33" w14:textId="74C1B258" w:rsidR="00F34405" w:rsidRPr="005824FF" w:rsidRDefault="00906467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oder Luft</w:t>
      </w:r>
    </w:p>
    <w:p w14:paraId="7B1772A2" w14:textId="77777777" w:rsidR="00F34405" w:rsidRPr="005824FF" w:rsidRDefault="00F34405" w:rsidP="00F34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317776C5" w14:textId="77777777" w:rsidR="00F34405" w:rsidRPr="005824FF" w:rsidRDefault="00F34405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481FE34A" w14:textId="610687C0" w:rsidR="003E1CED" w:rsidRDefault="003E1CED" w:rsidP="003E1CED">
      <w:pPr>
        <w:rPr>
          <w:rFonts w:asciiTheme="minorHAnsi" w:hAnsiTheme="minorHAnsi" w:cstheme="minorHAnsi"/>
          <w:bCs/>
          <w:sz w:val="24"/>
          <w:szCs w:val="24"/>
        </w:rPr>
      </w:pPr>
      <w:r w:rsidRPr="005824FF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5824FF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5824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5292C5DD" w14:textId="63BD8573" w:rsidR="003E5A02" w:rsidRDefault="003E5A02" w:rsidP="003E1CED">
      <w:pPr>
        <w:rPr>
          <w:rFonts w:asciiTheme="minorHAnsi" w:hAnsiTheme="minorHAnsi" w:cstheme="minorHAnsi"/>
          <w:bCs/>
          <w:sz w:val="24"/>
          <w:szCs w:val="24"/>
        </w:rPr>
      </w:pPr>
    </w:p>
    <w:p w14:paraId="78B588A1" w14:textId="6747925B" w:rsidR="003E5A02" w:rsidRDefault="003E5A02" w:rsidP="003E1CED">
      <w:pPr>
        <w:rPr>
          <w:rFonts w:asciiTheme="minorHAnsi" w:hAnsiTheme="minorHAnsi" w:cstheme="minorHAnsi"/>
          <w:bCs/>
          <w:sz w:val="24"/>
          <w:szCs w:val="24"/>
        </w:rPr>
      </w:pPr>
    </w:p>
    <w:p w14:paraId="0CEF0D7D" w14:textId="027968AB" w:rsidR="00E733DE" w:rsidRPr="005824FF" w:rsidRDefault="00E733DE" w:rsidP="00E733DE">
      <w:pP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>2. Standort der Vorhaben</w:t>
      </w:r>
    </w:p>
    <w:p w14:paraId="0163B8F7" w14:textId="77777777" w:rsidR="00E733DE" w:rsidRDefault="00E733DE" w:rsidP="003E1CED">
      <w:pPr>
        <w:rPr>
          <w:rFonts w:ascii="Arial" w:hAnsi="Arial" w:cs="Arial"/>
          <w:bCs/>
          <w:sz w:val="22"/>
          <w:szCs w:val="22"/>
        </w:rPr>
      </w:pPr>
    </w:p>
    <w:p w14:paraId="2E2D8276" w14:textId="77777777" w:rsidR="00E733DE" w:rsidRP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2.1 bestehende Nutzung des Gebietes, insbesondere als Fläche für die Siedlung und </w:t>
      </w:r>
    </w:p>
    <w:p w14:paraId="6D808990" w14:textId="77777777" w:rsidR="00E733DE" w:rsidRP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Erholung, für land-, forst- und fischereiwirtschaftliche Nutzungen, für sonstige </w:t>
      </w:r>
    </w:p>
    <w:p w14:paraId="25A02806" w14:textId="77777777" w:rsidR="00E733DE" w:rsidRP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wirtschaftliche und öffentliche Nutzungen, Verkehr, Ver- und Entsorgung </w:t>
      </w:r>
    </w:p>
    <w:p w14:paraId="1A888C8B" w14:textId="14BADE2C" w:rsidR="00E733DE" w:rsidRP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(Nutzungskriterien) </w:t>
      </w:r>
    </w:p>
    <w:p w14:paraId="038482B2" w14:textId="77777777" w:rsidR="00E733DE" w:rsidRP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2FA47663" w14:textId="77777777" w:rsidR="00E733DE" w:rsidRPr="00F7477A" w:rsidRDefault="00E733DE" w:rsidP="00E733DE">
      <w:pPr>
        <w:rPr>
          <w:rFonts w:asciiTheme="minorHAnsi" w:hAnsiTheme="minorHAnsi" w:cstheme="minorHAnsi"/>
          <w:bCs/>
          <w:sz w:val="24"/>
          <w:szCs w:val="24"/>
        </w:rPr>
      </w:pPr>
    </w:p>
    <w:p w14:paraId="7460F822" w14:textId="441F4A55" w:rsidR="00E733DE" w:rsidRPr="00F7477A" w:rsidRDefault="00E733DE" w:rsidP="00E733DE">
      <w:pPr>
        <w:rPr>
          <w:rFonts w:asciiTheme="minorHAnsi" w:hAnsiTheme="minorHAnsi" w:cstheme="minorHAnsi"/>
          <w:bCs/>
          <w:sz w:val="24"/>
          <w:szCs w:val="24"/>
        </w:rPr>
      </w:pPr>
      <w:r w:rsidRPr="00F7477A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F7477A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F747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7F737BA3" w14:textId="77777777" w:rsidR="000E1A6B" w:rsidRPr="00F7477A" w:rsidRDefault="000E1A6B" w:rsidP="00E733DE">
      <w:pPr>
        <w:rPr>
          <w:rFonts w:asciiTheme="minorHAnsi" w:hAnsiTheme="minorHAnsi" w:cstheme="minorHAnsi"/>
          <w:bCs/>
          <w:sz w:val="24"/>
          <w:szCs w:val="24"/>
        </w:rPr>
      </w:pPr>
    </w:p>
    <w:p w14:paraId="054AF850" w14:textId="77777777" w:rsidR="003E1CED" w:rsidRPr="00F7477A" w:rsidRDefault="003E1CED" w:rsidP="003E1CED">
      <w:pPr>
        <w:rPr>
          <w:rFonts w:asciiTheme="minorHAnsi" w:hAnsiTheme="minorHAnsi" w:cstheme="minorHAnsi"/>
          <w:bCs/>
          <w:sz w:val="24"/>
          <w:szCs w:val="24"/>
        </w:rPr>
      </w:pPr>
    </w:p>
    <w:p w14:paraId="3E37954C" w14:textId="77777777" w:rsid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2.2 Reichtum, Verfügbarkeit, Qualität und Regenerationsfähigkeit der natürlichen </w:t>
      </w:r>
    </w:p>
    <w:p w14:paraId="4C9CD1C1" w14:textId="77777777" w:rsidR="00F7477A" w:rsidRDefault="00F7477A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E733DE" w:rsidRPr="00F7477A">
        <w:rPr>
          <w:rFonts w:asciiTheme="minorHAnsi" w:hAnsiTheme="minorHAnsi" w:cstheme="minorHAnsi"/>
          <w:b/>
          <w:sz w:val="24"/>
          <w:szCs w:val="24"/>
        </w:rPr>
        <w:t xml:space="preserve">Ressourcen, insbesondere Fläche, Boden, Landwirtschaft, Wasser, Tiere, Pflanzen, </w:t>
      </w:r>
    </w:p>
    <w:p w14:paraId="4A6DE80D" w14:textId="7F3E0EFB" w:rsidR="00E733DE" w:rsidRPr="00F7477A" w:rsidRDefault="00F7477A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E733DE" w:rsidRPr="00F7477A">
        <w:rPr>
          <w:rFonts w:asciiTheme="minorHAnsi" w:hAnsiTheme="minorHAnsi" w:cstheme="minorHAnsi"/>
          <w:b/>
          <w:sz w:val="24"/>
          <w:szCs w:val="24"/>
        </w:rPr>
        <w:t xml:space="preserve">biologische Vielfalt, des Gebietes und seines Untergrunds (Qualitätskriterien) </w:t>
      </w:r>
    </w:p>
    <w:p w14:paraId="756C1A1A" w14:textId="77777777" w:rsidR="00E733DE" w:rsidRPr="00F7477A" w:rsidRDefault="00E733DE" w:rsidP="00E7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19AC8518" w14:textId="3C3E36DF" w:rsidR="00B54FE7" w:rsidRPr="00F7477A" w:rsidRDefault="00B54FE7" w:rsidP="00B54FE7">
      <w:pPr>
        <w:rPr>
          <w:rFonts w:asciiTheme="minorHAnsi" w:hAnsiTheme="minorHAnsi" w:cstheme="minorHAnsi"/>
          <w:sz w:val="24"/>
          <w:szCs w:val="24"/>
        </w:rPr>
      </w:pPr>
    </w:p>
    <w:p w14:paraId="1A8BA1C4" w14:textId="77777777" w:rsidR="000E1A6B" w:rsidRPr="00F7477A" w:rsidRDefault="000E1A6B" w:rsidP="000E1A6B">
      <w:pPr>
        <w:rPr>
          <w:rFonts w:asciiTheme="minorHAnsi" w:hAnsiTheme="minorHAnsi" w:cstheme="minorHAnsi"/>
          <w:bCs/>
          <w:sz w:val="24"/>
          <w:szCs w:val="24"/>
        </w:rPr>
      </w:pPr>
      <w:r w:rsidRPr="00F7477A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F7477A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F7477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DC91C10" w14:textId="6DFABA08" w:rsidR="000E1A6B" w:rsidRPr="00F7477A" w:rsidRDefault="000E1A6B" w:rsidP="00B54FE7">
      <w:pPr>
        <w:rPr>
          <w:rFonts w:asciiTheme="minorHAnsi" w:hAnsiTheme="minorHAnsi" w:cstheme="minorHAnsi"/>
          <w:sz w:val="24"/>
          <w:szCs w:val="24"/>
        </w:rPr>
      </w:pPr>
    </w:p>
    <w:p w14:paraId="46BFB8BF" w14:textId="77777777" w:rsidR="000E1A6B" w:rsidRPr="005824FF" w:rsidRDefault="000E1A6B" w:rsidP="00B54FE7">
      <w:pPr>
        <w:rPr>
          <w:rFonts w:asciiTheme="minorHAnsi" w:hAnsiTheme="minorHAnsi" w:cstheme="minorHAnsi"/>
          <w:sz w:val="24"/>
          <w:szCs w:val="24"/>
        </w:rPr>
      </w:pPr>
    </w:p>
    <w:p w14:paraId="477979BA" w14:textId="1553A1F2" w:rsidR="00B54FE7" w:rsidRPr="005824FF" w:rsidRDefault="00E733DE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>2</w:t>
      </w:r>
      <w:r w:rsidR="00B54FE7" w:rsidRPr="005824FF">
        <w:rPr>
          <w:rFonts w:asciiTheme="minorHAnsi" w:hAnsiTheme="minorHAnsi" w:cstheme="minorHAnsi"/>
          <w:b/>
          <w:sz w:val="24"/>
          <w:szCs w:val="24"/>
        </w:rPr>
        <w:t>.</w:t>
      </w:r>
      <w:r w:rsidRPr="005824FF">
        <w:rPr>
          <w:rFonts w:asciiTheme="minorHAnsi" w:hAnsiTheme="minorHAnsi" w:cstheme="minorHAnsi"/>
          <w:b/>
          <w:sz w:val="24"/>
          <w:szCs w:val="24"/>
        </w:rPr>
        <w:t>3</w:t>
      </w:r>
      <w:r w:rsidR="00EE1879" w:rsidRPr="005824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54FE7" w:rsidRPr="005824FF">
        <w:rPr>
          <w:rFonts w:asciiTheme="minorHAnsi" w:hAnsiTheme="minorHAnsi" w:cstheme="minorHAnsi"/>
          <w:b/>
          <w:sz w:val="24"/>
          <w:szCs w:val="24"/>
        </w:rPr>
        <w:t>Belastbarkeit der Schutzgüter unter besonderer Berücksichtigung folgender</w:t>
      </w:r>
    </w:p>
    <w:p w14:paraId="1A3FB9E0" w14:textId="0AD1BD81" w:rsidR="00B54FE7" w:rsidRPr="005824FF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 Gebiete und von Art und Umfang des ihnen jeweils zugewiesenen Schutzes</w:t>
      </w:r>
    </w:p>
    <w:p w14:paraId="19CA9008" w14:textId="2B5FBD54" w:rsidR="00B54FE7" w:rsidRPr="005824FF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F74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4FF">
        <w:rPr>
          <w:rFonts w:asciiTheme="minorHAnsi" w:hAnsiTheme="minorHAnsi" w:cstheme="minorHAnsi"/>
          <w:b/>
          <w:sz w:val="24"/>
          <w:szCs w:val="24"/>
        </w:rPr>
        <w:t xml:space="preserve">   (Schutzkriterien)</w:t>
      </w:r>
    </w:p>
    <w:p w14:paraId="0B044B97" w14:textId="77777777" w:rsidR="00B54FE7" w:rsidRPr="005824FF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3ED49AAD" w14:textId="77777777" w:rsidR="00B54FE7" w:rsidRPr="005824FF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916F9C" w14:textId="77777777" w:rsidR="000E1A6B" w:rsidRPr="005824FF" w:rsidRDefault="000E1A6B" w:rsidP="000E1A6B">
      <w:pPr>
        <w:rPr>
          <w:rFonts w:ascii="Arial" w:hAnsi="Arial" w:cs="Arial"/>
          <w:bCs/>
          <w:sz w:val="22"/>
          <w:szCs w:val="22"/>
        </w:rPr>
      </w:pPr>
      <w:r w:rsidRPr="005824FF">
        <w:rPr>
          <w:rFonts w:asciiTheme="minorHAnsi" w:hAnsiTheme="minorHAnsi" w:cstheme="minorHAnsi"/>
          <w:bCs/>
          <w:sz w:val="24"/>
          <w:szCs w:val="24"/>
        </w:rPr>
        <w:t xml:space="preserve">Ist nicht Gegenstand des </w:t>
      </w:r>
      <w:proofErr w:type="spellStart"/>
      <w:r w:rsidRPr="005824FF">
        <w:rPr>
          <w:rFonts w:asciiTheme="minorHAnsi" w:hAnsiTheme="minorHAnsi" w:cstheme="minorHAnsi"/>
          <w:bCs/>
          <w:sz w:val="24"/>
          <w:szCs w:val="24"/>
        </w:rPr>
        <w:t>Vorbescheidverfahrens</w:t>
      </w:r>
      <w:proofErr w:type="spellEnd"/>
      <w:r w:rsidRPr="005824FF">
        <w:rPr>
          <w:rFonts w:ascii="Arial" w:hAnsi="Arial" w:cs="Arial"/>
          <w:bCs/>
          <w:sz w:val="22"/>
          <w:szCs w:val="22"/>
        </w:rPr>
        <w:t>.</w:t>
      </w:r>
    </w:p>
    <w:p w14:paraId="67E184E5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B43835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2.3.1 Natura 2000-Gebiete nach § 7 Abs.1 Nummer 8 Bundesnaturschutzgesetzes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09DD1C21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CB4B2C4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2.3.2 Naturschutzgebiete nach § 23 des Bundesnaturschutzgesetzes, soweit nicht bereits </w:t>
      </w:r>
      <w:r w:rsid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</w:p>
    <w:p w14:paraId="324E23A9" w14:textId="05B6311C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von Nummer 2.3.1 erfasst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7ABAD2C6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2B24717A" w14:textId="77777777" w:rsidR="00F54040" w:rsidRPr="00F7477A" w:rsidRDefault="00B54FE7" w:rsidP="00B54FE7">
      <w:pPr>
        <w:ind w:left="-708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2.3.3 Nationalparke 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und Nationale Naturmonumente </w:t>
      </w: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nach § 24 des Bundesnatur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</w:p>
    <w:p w14:paraId="30220C78" w14:textId="3E62550C" w:rsidR="00B54FE7" w:rsidRPr="00F7477A" w:rsidRDefault="00F7477A" w:rsidP="00F54040">
      <w:pPr>
        <w:ind w:left="-708" w:firstLine="708"/>
        <w:rPr>
          <w:rFonts w:asciiTheme="minorHAnsi" w:hAnsiTheme="minorHAnsi" w:cstheme="minorHAnsi"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proofErr w:type="spellStart"/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schutzgesetzes</w:t>
      </w:r>
      <w:proofErr w:type="spellEnd"/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, soweit nicht bereits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von Nummer 2.3.1 erfasst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25452572" w14:textId="77777777" w:rsidR="00B54FE7" w:rsidRPr="00F7477A" w:rsidRDefault="00B54FE7" w:rsidP="00B54FE7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1E0E69A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2.3.4 Biosphärenreservate und Landschaftsschutzgebiete gemäß den §§ 25 und 26 des </w:t>
      </w:r>
      <w:r w:rsid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</w:p>
    <w:p w14:paraId="01F0CA54" w14:textId="14AB08BB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Bundesnaturschutzgesetzes,</w:t>
      </w:r>
    </w:p>
    <w:p w14:paraId="0D8EB848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</w:rPr>
      </w:pPr>
    </w:p>
    <w:p w14:paraId="1364AEE9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2.3.5 Naturdenkmäler nach § 28 des Bundesnaturschutzgesetzes</w:t>
      </w:r>
      <w:r w:rsidR="0087472D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1896E582" w14:textId="77777777" w:rsidR="00B54FE7" w:rsidRPr="00F7477A" w:rsidRDefault="00B54FE7" w:rsidP="00B54FE7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7CB15DC0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2.3.6 geschützte Landschaftsbestandteile, einschließlich Alleen, nach § 29 des </w:t>
      </w:r>
    </w:p>
    <w:p w14:paraId="6D8D4752" w14:textId="60B344A3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Bundesnaturschutzgesetzes</w:t>
      </w:r>
      <w:r w:rsidR="0087472D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5FF6027C" w14:textId="77777777" w:rsidR="00B54FE7" w:rsidRPr="00F7477A" w:rsidRDefault="00B54FE7" w:rsidP="00B54FE7">
      <w:pPr>
        <w:rPr>
          <w:rFonts w:asciiTheme="minorHAnsi" w:hAnsiTheme="minorHAnsi" w:cstheme="minorHAnsi"/>
          <w:sz w:val="24"/>
          <w:szCs w:val="24"/>
        </w:rPr>
      </w:pPr>
    </w:p>
    <w:p w14:paraId="7D1AB2A0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2.3.7 gesetzlich geschützte Biotope nach § 30 des Bundesnaturschutzgesetzes</w:t>
      </w:r>
      <w:r w:rsidR="0087472D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044397AB" w14:textId="77777777" w:rsidR="00B103DF" w:rsidRPr="00F7477A" w:rsidRDefault="00B103DF" w:rsidP="00B54FE7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448F2C1" w14:textId="77777777" w:rsidR="00F54040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Pr="00F7477A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3.8 Wasserschutzgebiete nach § 51 des Wasserhaushaltsgesetzes, 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>H</w:t>
      </w: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eilquellen</w:t>
      </w:r>
      <w:r w:rsidR="00F54040" w:rsidRPr="00F7477A">
        <w:rPr>
          <w:rFonts w:asciiTheme="minorHAnsi" w:hAnsiTheme="minorHAnsi" w:cstheme="minorHAnsi"/>
          <w:b/>
          <w:sz w:val="24"/>
          <w:szCs w:val="24"/>
          <w:u w:val="single"/>
        </w:rPr>
        <w:t>-</w:t>
      </w:r>
    </w:p>
    <w:p w14:paraId="0D95B653" w14:textId="27FD15BD" w:rsidR="00F54040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proofErr w:type="spellStart"/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schutzgebiete</w:t>
      </w:r>
      <w:proofErr w:type="spellEnd"/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 nach § 53 Absatz 4 des Wasserhaushaltsgesetzes, Risikogebiete nach </w:t>
      </w:r>
    </w:p>
    <w:p w14:paraId="43804A52" w14:textId="77750411" w:rsidR="00F54040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§ 73 Absatz 1 des Wasserhaushaltsgesetzes sowie Überschwemmungsgebiete nach </w:t>
      </w:r>
    </w:p>
    <w:p w14:paraId="2BB00029" w14:textId="416269B5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§ 76 des Wasserhaushaltsgesetzes</w:t>
      </w:r>
      <w:r w:rsidR="0087472D" w:rsidRPr="00F7477A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</w:p>
    <w:p w14:paraId="1A02EC9B" w14:textId="77777777" w:rsidR="00B54FE7" w:rsidRPr="00F7477A" w:rsidRDefault="00B54FE7" w:rsidP="00B54FE7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F85BDBA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2.3.9 Gebiete, in denen die in den Gemeinschaftsvorschriften festgelegten </w:t>
      </w:r>
      <w:r w:rsid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560F4447" w14:textId="6AB45414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Umweltqualitätsnormen bereits überschritten sind,</w:t>
      </w:r>
    </w:p>
    <w:p w14:paraId="22BB32D5" w14:textId="77777777" w:rsidR="00B54FE7" w:rsidRPr="00F7477A" w:rsidRDefault="00B54FE7" w:rsidP="00B54FE7">
      <w:pPr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642BF23B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2.3.10 Gebiete mit hoher Bevölkerungsdichte, insbesondere Zentrale Orte im Sinne des § 2 </w:t>
      </w:r>
    </w:p>
    <w:p w14:paraId="77E6C702" w14:textId="09488449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Absatz 2 Nummer 2 des Raumordnungsgesetzes,</w:t>
      </w:r>
    </w:p>
    <w:p w14:paraId="6B6D8EDC" w14:textId="77777777" w:rsidR="00B54FE7" w:rsidRPr="00F7477A" w:rsidRDefault="00B54FE7" w:rsidP="00B54FE7">
      <w:pPr>
        <w:ind w:left="708"/>
        <w:rPr>
          <w:rFonts w:asciiTheme="minorHAnsi" w:hAnsiTheme="minorHAnsi" w:cstheme="minorHAnsi"/>
          <w:b/>
          <w:sz w:val="24"/>
          <w:szCs w:val="24"/>
        </w:rPr>
      </w:pPr>
    </w:p>
    <w:p w14:paraId="795B3FC9" w14:textId="77777777" w:rsidR="00B54FE7" w:rsidRPr="00F7477A" w:rsidRDefault="00B54FE7" w:rsidP="00B54FE7">
      <w:pPr>
        <w:ind w:left="708"/>
        <w:rPr>
          <w:rFonts w:asciiTheme="minorHAnsi" w:hAnsiTheme="minorHAnsi" w:cstheme="minorHAnsi"/>
          <w:sz w:val="24"/>
          <w:szCs w:val="24"/>
        </w:rPr>
      </w:pPr>
    </w:p>
    <w:p w14:paraId="46D1871E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2.3.11 in amtlichen Listen oder Karten verzeichnete Denkmäler, Denkmalensembles, </w:t>
      </w:r>
    </w:p>
    <w:p w14:paraId="600CD3AE" w14:textId="77777777" w:rsid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Bodendenkmäler oder Gebiete, die von der durch die Länder bestimmten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</w:p>
    <w:p w14:paraId="41528964" w14:textId="77777777" w:rsid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Denkmalschutzbehörde als archäologisch bedeutende Landschaft eingestuft worden </w:t>
      </w:r>
    </w:p>
    <w:p w14:paraId="3CAAEE5E" w14:textId="6C0FE9E8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sind.</w:t>
      </w:r>
    </w:p>
    <w:p w14:paraId="048758CE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2C99CC4" w14:textId="77777777" w:rsidR="00B54FE7" w:rsidRPr="00E97F91" w:rsidRDefault="00B54FE7" w:rsidP="00B54FE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5B8FBDDA" w14:textId="77777777" w:rsidR="00604059" w:rsidRPr="00E97F91" w:rsidRDefault="00604059" w:rsidP="00B54FE7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350D00E4" w14:textId="4C8E0069" w:rsidR="00B54FE7" w:rsidRPr="00F7477A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5824FF" w:rsidRPr="00F7477A">
        <w:rPr>
          <w:rFonts w:asciiTheme="minorHAnsi" w:hAnsiTheme="minorHAnsi" w:cstheme="minorHAnsi"/>
          <w:b/>
          <w:sz w:val="24"/>
          <w:szCs w:val="24"/>
        </w:rPr>
        <w:t xml:space="preserve">Art und </w:t>
      </w:r>
      <w:r w:rsidRPr="00F7477A">
        <w:rPr>
          <w:rFonts w:asciiTheme="minorHAnsi" w:hAnsiTheme="minorHAnsi" w:cstheme="minorHAnsi"/>
          <w:b/>
          <w:sz w:val="24"/>
          <w:szCs w:val="24"/>
        </w:rPr>
        <w:t>Merkmale der möglichen Auswirkungen</w:t>
      </w:r>
    </w:p>
    <w:p w14:paraId="4EE7F8FA" w14:textId="77777777" w:rsidR="00B54FE7" w:rsidRPr="00F7477A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344779F8" w14:textId="77777777" w:rsidR="00B54FE7" w:rsidRPr="00F7477A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F7477A">
        <w:rPr>
          <w:rFonts w:asciiTheme="minorHAnsi" w:hAnsiTheme="minorHAnsi" w:cstheme="minorHAnsi"/>
          <w:sz w:val="24"/>
          <w:szCs w:val="24"/>
        </w:rPr>
        <w:t xml:space="preserve">Die möglichen erheblichen Auswirkungen eines Vorhabens auf die Schutzgüter sind </w:t>
      </w:r>
    </w:p>
    <w:p w14:paraId="351EEF31" w14:textId="77777777" w:rsidR="00B54FE7" w:rsidRPr="00F7477A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F7477A">
        <w:rPr>
          <w:rFonts w:asciiTheme="minorHAnsi" w:hAnsiTheme="minorHAnsi" w:cstheme="minorHAnsi"/>
          <w:sz w:val="24"/>
          <w:szCs w:val="24"/>
        </w:rPr>
        <w:t xml:space="preserve">   anhand der unter den Nummern 1 und 2 aufgeführten Kriterien zu beurteilen; dabei ist </w:t>
      </w:r>
    </w:p>
    <w:p w14:paraId="7ECB0B4E" w14:textId="77777777" w:rsidR="00B54FE7" w:rsidRPr="00F7477A" w:rsidRDefault="00B54FE7" w:rsidP="00B54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F7477A">
        <w:rPr>
          <w:rFonts w:asciiTheme="minorHAnsi" w:hAnsiTheme="minorHAnsi" w:cstheme="minorHAnsi"/>
          <w:sz w:val="24"/>
          <w:szCs w:val="24"/>
        </w:rPr>
        <w:t xml:space="preserve">   insbesondere folgenden Gesichtspunkten Rechnung zu tragen:</w:t>
      </w:r>
    </w:p>
    <w:p w14:paraId="1F30FCBB" w14:textId="77777777" w:rsidR="00F7477A" w:rsidRDefault="00F7477A" w:rsidP="00F7477A">
      <w:pPr>
        <w:rPr>
          <w:rFonts w:ascii="Arial" w:hAnsi="Arial" w:cs="Arial"/>
          <w:bCs/>
          <w:sz w:val="22"/>
          <w:szCs w:val="22"/>
        </w:rPr>
      </w:pPr>
    </w:p>
    <w:p w14:paraId="7282FB52" w14:textId="6FE5BD62" w:rsidR="00632012" w:rsidRDefault="00632012" w:rsidP="0063201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Durch den Antragsgegenstand und die damit verbundenen fehlenden standort-/anlagenbedingten Auswirkungen sind offensichtlich keine erheblich negativen Umweltauswirkungen zu besorgen.</w:t>
      </w:r>
    </w:p>
    <w:p w14:paraId="25F072ED" w14:textId="77777777" w:rsidR="00632012" w:rsidRDefault="00632012" w:rsidP="006320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BFB3E7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3.1 Der Art und dem Ausmaß der Auswirkungen, insbesondere welches geographische </w:t>
      </w:r>
    </w:p>
    <w:p w14:paraId="1844FEF8" w14:textId="77777777" w:rsid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Gebiet betroffen ist und wie viele Personen von den Auswirkungen voraussichtlich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 </w:t>
      </w:r>
    </w:p>
    <w:p w14:paraId="147B34B9" w14:textId="4F62ED33" w:rsidR="00B54FE7" w:rsidRPr="00F7477A" w:rsidRDefault="00F7477A" w:rsidP="00B54FE7">
      <w:pPr>
        <w:rPr>
          <w:rFonts w:asciiTheme="minorHAnsi" w:hAnsiTheme="minorHAnsi" w:cstheme="minorHAnsi"/>
          <w:sz w:val="24"/>
          <w:szCs w:val="24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betroffen sind</w:t>
      </w:r>
    </w:p>
    <w:p w14:paraId="10F20157" w14:textId="77777777" w:rsidR="00B54FE7" w:rsidRPr="00F7477A" w:rsidRDefault="00B54FE7" w:rsidP="00B54FE7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F2A31E9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3.2 dem etwaigen grenzüberschreitenden Charakter der Auswirkungen,</w:t>
      </w:r>
    </w:p>
    <w:p w14:paraId="00C9802E" w14:textId="77777777" w:rsidR="00B54FE7" w:rsidRPr="00F7477A" w:rsidRDefault="00B54FE7" w:rsidP="00B54FE7">
      <w:pPr>
        <w:rPr>
          <w:rFonts w:asciiTheme="minorHAnsi" w:hAnsiTheme="minorHAnsi" w:cstheme="minorHAnsi"/>
          <w:sz w:val="24"/>
          <w:szCs w:val="24"/>
        </w:rPr>
      </w:pPr>
    </w:p>
    <w:p w14:paraId="131D9FA6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3.3 der Schwere und der Komplexität der Auswirkungen,</w:t>
      </w:r>
    </w:p>
    <w:p w14:paraId="72826EE8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A120B37" w14:textId="77777777" w:rsidR="00B54FE7" w:rsidRP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>3.4 der Wahrscheinlichkeit von Auswirkungen,</w:t>
      </w:r>
    </w:p>
    <w:p w14:paraId="7E31B3B8" w14:textId="77777777" w:rsidR="00B54FE7" w:rsidRPr="00F7477A" w:rsidRDefault="00B54FE7" w:rsidP="00B54FE7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D9DC8EE" w14:textId="77777777" w:rsidR="00F7477A" w:rsidRDefault="00B54FE7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3.5 dem voraussichtlichen Zeitpunkt des Eintretens sowie der Dauer, Häufigkeit und </w:t>
      </w:r>
    </w:p>
    <w:p w14:paraId="53C8891D" w14:textId="633C6AD6" w:rsidR="00B54FE7" w:rsidRPr="00F7477A" w:rsidRDefault="00F7477A" w:rsidP="00B54FE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Umkehrbarkeit der Auswirkungen.</w:t>
      </w:r>
    </w:p>
    <w:p w14:paraId="1BB528A1" w14:textId="77777777" w:rsidR="00B54FE7" w:rsidRPr="00F7477A" w:rsidRDefault="00B54FE7" w:rsidP="00B54F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914473" w14:textId="77777777" w:rsidR="00F7477A" w:rsidRDefault="00B54FE7" w:rsidP="00B54FE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3.6 Dem Zusammenwirken der Auswirkungen mit den Auswirkungen anderer bestehender </w:t>
      </w:r>
    </w:p>
    <w:p w14:paraId="0FE4736B" w14:textId="0F68F364" w:rsidR="00B54FE7" w:rsidRPr="00F7477A" w:rsidRDefault="00F7477A" w:rsidP="00B54FE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B54FE7" w:rsidRPr="00F7477A">
        <w:rPr>
          <w:rFonts w:asciiTheme="minorHAnsi" w:hAnsiTheme="minorHAnsi" w:cstheme="minorHAnsi"/>
          <w:b/>
          <w:sz w:val="24"/>
          <w:szCs w:val="24"/>
          <w:u w:val="single"/>
        </w:rPr>
        <w:t>oder zugelassener Vorhaben,</w:t>
      </w:r>
    </w:p>
    <w:p w14:paraId="4A2C9BEC" w14:textId="77777777" w:rsidR="00B54FE7" w:rsidRPr="00F7477A" w:rsidRDefault="00B54FE7" w:rsidP="00B54FE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5A103D" w14:textId="0BEAF1F9" w:rsidR="0050799C" w:rsidRDefault="00B54FE7" w:rsidP="00593F9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477A">
        <w:rPr>
          <w:rFonts w:asciiTheme="minorHAnsi" w:hAnsiTheme="minorHAnsi" w:cstheme="minorHAnsi"/>
          <w:b/>
          <w:sz w:val="24"/>
          <w:szCs w:val="24"/>
          <w:u w:val="single"/>
        </w:rPr>
        <w:t xml:space="preserve">3.7 der Möglichkeit, die Auswirkungen wirksam zu vermeiden </w:t>
      </w:r>
    </w:p>
    <w:p w14:paraId="4F5186F7" w14:textId="05B3A3B3" w:rsidR="00593F93" w:rsidRDefault="00593F93" w:rsidP="00593F9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79BC811" w14:textId="0E571D4E" w:rsidR="00593F93" w:rsidRDefault="00593F93" w:rsidP="00593F9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91F0E98" w14:textId="77777777" w:rsidR="00FC087B" w:rsidRDefault="00FC087B" w:rsidP="00593F9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A4205B" w14:textId="77777777" w:rsidR="00FC087B" w:rsidRDefault="00FC087B" w:rsidP="00593F9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0BE6BE" w14:textId="5BA63C65" w:rsidR="00593F93" w:rsidRPr="00593F93" w:rsidRDefault="00C128B7" w:rsidP="00593F9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Bruchardt</w:t>
      </w:r>
    </w:p>
    <w:p w14:paraId="2F5563E7" w14:textId="5838DFE2" w:rsidR="00593F93" w:rsidRPr="00593F93" w:rsidRDefault="00593F93" w:rsidP="00593F93">
      <w:pPr>
        <w:jc w:val="both"/>
        <w:rPr>
          <w:bCs/>
          <w:i/>
          <w:iCs/>
        </w:rPr>
      </w:pPr>
      <w:r w:rsidRPr="00593F93">
        <w:rPr>
          <w:rFonts w:asciiTheme="minorHAnsi" w:hAnsiTheme="minorHAnsi" w:cstheme="minorHAnsi"/>
          <w:bCs/>
          <w:sz w:val="24"/>
          <w:szCs w:val="24"/>
        </w:rPr>
        <w:t>Sachbearbeiterin UIB</w:t>
      </w:r>
    </w:p>
    <w:sectPr w:rsidR="00593F93" w:rsidRPr="00593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C93C" w14:textId="77777777" w:rsidR="00372B66" w:rsidRDefault="00372B66">
      <w:r>
        <w:separator/>
      </w:r>
    </w:p>
  </w:endnote>
  <w:endnote w:type="continuationSeparator" w:id="0">
    <w:p w14:paraId="03BB0BAF" w14:textId="77777777" w:rsidR="00372B66" w:rsidRDefault="0037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A724" w14:textId="77777777" w:rsidR="00512D50" w:rsidRDefault="00512D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3260" w14:textId="77777777" w:rsidR="00372B66" w:rsidRDefault="00372B66">
    <w:pPr>
      <w:pStyle w:val="Fuzeile"/>
      <w:pBdr>
        <w:bottom w:val="single" w:sz="12" w:space="1" w:color="auto"/>
      </w:pBdr>
    </w:pPr>
  </w:p>
  <w:p w14:paraId="64C07B51" w14:textId="77777777" w:rsidR="00372B66" w:rsidRDefault="00372B66">
    <w:pPr>
      <w:pStyle w:val="Fuzeile"/>
      <w:rPr>
        <w:rFonts w:ascii="Arial" w:hAnsi="Arial" w:cs="Arial"/>
      </w:rPr>
    </w:pPr>
    <w:r>
      <w:tab/>
    </w:r>
    <w:r>
      <w:tab/>
    </w:r>
    <w:r>
      <w:rPr>
        <w:rFonts w:ascii="Arial" w:hAnsi="Arial" w:cs="Arial"/>
      </w:rPr>
      <w:t xml:space="preserve">Seite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9A1FBD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von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9A1FBD">
      <w:rPr>
        <w:rFonts w:ascii="Arial" w:hAnsi="Arial" w:cs="Arial"/>
        <w:noProof/>
      </w:rPr>
      <w:t>15</w:t>
    </w:r>
    <w:r>
      <w:rPr>
        <w:rFonts w:ascii="Arial" w:hAnsi="Arial" w:cs="Arial"/>
      </w:rPr>
      <w:fldChar w:fldCharType="end"/>
    </w:r>
  </w:p>
  <w:p w14:paraId="4747C8BD" w14:textId="77777777" w:rsidR="00372B66" w:rsidRDefault="00372B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354F" w14:textId="77777777" w:rsidR="00512D50" w:rsidRDefault="00512D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C11E" w14:textId="77777777" w:rsidR="00372B66" w:rsidRDefault="00372B66">
      <w:r>
        <w:separator/>
      </w:r>
    </w:p>
  </w:footnote>
  <w:footnote w:type="continuationSeparator" w:id="0">
    <w:p w14:paraId="2D9225AE" w14:textId="77777777" w:rsidR="00372B66" w:rsidRDefault="0037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CD11" w14:textId="632A94CB" w:rsidR="00372B66" w:rsidRDefault="00372B6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F64F2CD" w14:textId="77777777" w:rsidR="00372B66" w:rsidRDefault="00372B6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AE06" w14:textId="739B1247" w:rsidR="00372B66" w:rsidRDefault="00372B66">
    <w:pPr>
      <w:pStyle w:val="Kopfzeile"/>
      <w:pBdr>
        <w:bottom w:val="single" w:sz="12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Seite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9A1FBD">
      <w:rPr>
        <w:rFonts w:ascii="Arial" w:hAnsi="Arial" w:cs="Arial"/>
        <w:noProof/>
      </w:rPr>
      <w:t>12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von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9A1FBD">
      <w:rPr>
        <w:rFonts w:ascii="Arial" w:hAnsi="Arial" w:cs="Arial"/>
        <w:noProof/>
      </w:rPr>
      <w:t>15</w:t>
    </w:r>
    <w:r>
      <w:rPr>
        <w:rFonts w:ascii="Arial" w:hAnsi="Arial" w:cs="Arial"/>
      </w:rPr>
      <w:fldChar w:fldCharType="end"/>
    </w:r>
  </w:p>
  <w:p w14:paraId="46A5D619" w14:textId="77777777" w:rsidR="00372B66" w:rsidRDefault="00372B66">
    <w:pPr>
      <w:pStyle w:val="Kopfzeile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9880" w14:textId="0329518F" w:rsidR="00512D50" w:rsidRDefault="00512D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7FC"/>
    <w:multiLevelType w:val="hybridMultilevel"/>
    <w:tmpl w:val="288E2770"/>
    <w:lvl w:ilvl="0" w:tplc="B812F85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53"/>
    <w:multiLevelType w:val="hybridMultilevel"/>
    <w:tmpl w:val="82488C6A"/>
    <w:lvl w:ilvl="0" w:tplc="2DA2FD54">
      <w:start w:val="1"/>
      <w:numFmt w:val="bullet"/>
      <w:pStyle w:val="Aufzhlung2"/>
      <w:lvlText w:val="-"/>
      <w:lvlJc w:val="left"/>
      <w:pPr>
        <w:tabs>
          <w:tab w:val="num" w:pos="340"/>
        </w:tabs>
        <w:ind w:left="340" w:hanging="34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7316A"/>
    <w:multiLevelType w:val="hybridMultilevel"/>
    <w:tmpl w:val="F96426A0"/>
    <w:lvl w:ilvl="0" w:tplc="6DE2CF2C">
      <w:start w:val="624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"/>
        </w:tabs>
        <w:ind w:left="2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741"/>
        </w:tabs>
        <w:ind w:left="74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</w:abstractNum>
  <w:abstractNum w:abstractNumId="3" w15:restartNumberingAfterBreak="0">
    <w:nsid w:val="44FC37EE"/>
    <w:multiLevelType w:val="hybridMultilevel"/>
    <w:tmpl w:val="58F2A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0D7A"/>
    <w:multiLevelType w:val="hybridMultilevel"/>
    <w:tmpl w:val="651AF8DA"/>
    <w:lvl w:ilvl="0" w:tplc="89ECAFD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47890"/>
    <w:multiLevelType w:val="hybridMultilevel"/>
    <w:tmpl w:val="A4D0635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D732C"/>
    <w:multiLevelType w:val="hybridMultilevel"/>
    <w:tmpl w:val="47B4402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F5E23"/>
    <w:multiLevelType w:val="hybridMultilevel"/>
    <w:tmpl w:val="40BA9FA0"/>
    <w:lvl w:ilvl="0" w:tplc="E332A7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21A5E"/>
    <w:multiLevelType w:val="hybridMultilevel"/>
    <w:tmpl w:val="42D084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11A9A"/>
    <w:multiLevelType w:val="multilevel"/>
    <w:tmpl w:val="0CFEE9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F2C7CEE"/>
    <w:multiLevelType w:val="hybridMultilevel"/>
    <w:tmpl w:val="66705D42"/>
    <w:lvl w:ilvl="0" w:tplc="93547802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57043">
    <w:abstractNumId w:val="6"/>
  </w:num>
  <w:num w:numId="2" w16cid:durableId="1295915394">
    <w:abstractNumId w:val="3"/>
  </w:num>
  <w:num w:numId="3" w16cid:durableId="1672836617">
    <w:abstractNumId w:val="5"/>
  </w:num>
  <w:num w:numId="4" w16cid:durableId="1544561459">
    <w:abstractNumId w:val="7"/>
  </w:num>
  <w:num w:numId="5" w16cid:durableId="439032214">
    <w:abstractNumId w:val="4"/>
  </w:num>
  <w:num w:numId="6" w16cid:durableId="2076858296">
    <w:abstractNumId w:val="10"/>
  </w:num>
  <w:num w:numId="7" w16cid:durableId="1739864568">
    <w:abstractNumId w:val="0"/>
  </w:num>
  <w:num w:numId="8" w16cid:durableId="432896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173410">
    <w:abstractNumId w:val="2"/>
  </w:num>
  <w:num w:numId="10" w16cid:durableId="2095783064">
    <w:abstractNumId w:val="1"/>
  </w:num>
  <w:num w:numId="11" w16cid:durableId="1342506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28"/>
    <w:rsid w:val="0003015D"/>
    <w:rsid w:val="00035DCA"/>
    <w:rsid w:val="00052963"/>
    <w:rsid w:val="00067B8D"/>
    <w:rsid w:val="000732FE"/>
    <w:rsid w:val="00092451"/>
    <w:rsid w:val="00092A3D"/>
    <w:rsid w:val="000A6EEC"/>
    <w:rsid w:val="000D5D6A"/>
    <w:rsid w:val="000D7145"/>
    <w:rsid w:val="000E1A6B"/>
    <w:rsid w:val="00127F12"/>
    <w:rsid w:val="00154E1F"/>
    <w:rsid w:val="001563E0"/>
    <w:rsid w:val="0016756B"/>
    <w:rsid w:val="0019424D"/>
    <w:rsid w:val="00194BB1"/>
    <w:rsid w:val="001A1605"/>
    <w:rsid w:val="001A1850"/>
    <w:rsid w:val="001A5758"/>
    <w:rsid w:val="001C4418"/>
    <w:rsid w:val="001E512C"/>
    <w:rsid w:val="002063EB"/>
    <w:rsid w:val="00220C03"/>
    <w:rsid w:val="0024292F"/>
    <w:rsid w:val="002436B2"/>
    <w:rsid w:val="002502A8"/>
    <w:rsid w:val="00292156"/>
    <w:rsid w:val="002A60DB"/>
    <w:rsid w:val="002B1CF1"/>
    <w:rsid w:val="002D7477"/>
    <w:rsid w:val="002F3228"/>
    <w:rsid w:val="003068A1"/>
    <w:rsid w:val="00332F14"/>
    <w:rsid w:val="00333CBF"/>
    <w:rsid w:val="00372B66"/>
    <w:rsid w:val="00385DB9"/>
    <w:rsid w:val="0039248F"/>
    <w:rsid w:val="003B233C"/>
    <w:rsid w:val="003B7C6B"/>
    <w:rsid w:val="003E1215"/>
    <w:rsid w:val="003E1CED"/>
    <w:rsid w:val="003E5A02"/>
    <w:rsid w:val="00430160"/>
    <w:rsid w:val="00431A7E"/>
    <w:rsid w:val="00445855"/>
    <w:rsid w:val="0045264C"/>
    <w:rsid w:val="00491ADC"/>
    <w:rsid w:val="004B5827"/>
    <w:rsid w:val="004C6FAF"/>
    <w:rsid w:val="004E1D13"/>
    <w:rsid w:val="005035AB"/>
    <w:rsid w:val="0050799C"/>
    <w:rsid w:val="00510C97"/>
    <w:rsid w:val="00512D50"/>
    <w:rsid w:val="00513477"/>
    <w:rsid w:val="0054597A"/>
    <w:rsid w:val="005608D1"/>
    <w:rsid w:val="00562F9B"/>
    <w:rsid w:val="005824FF"/>
    <w:rsid w:val="00593635"/>
    <w:rsid w:val="00593F93"/>
    <w:rsid w:val="005E00D9"/>
    <w:rsid w:val="005E1BF6"/>
    <w:rsid w:val="005E4723"/>
    <w:rsid w:val="00604059"/>
    <w:rsid w:val="00604F06"/>
    <w:rsid w:val="00613CD6"/>
    <w:rsid w:val="006230E6"/>
    <w:rsid w:val="00632012"/>
    <w:rsid w:val="006459EC"/>
    <w:rsid w:val="00652171"/>
    <w:rsid w:val="00652707"/>
    <w:rsid w:val="00660102"/>
    <w:rsid w:val="006B7A30"/>
    <w:rsid w:val="006C528F"/>
    <w:rsid w:val="006F3C50"/>
    <w:rsid w:val="00702A0B"/>
    <w:rsid w:val="00713D77"/>
    <w:rsid w:val="00725E4B"/>
    <w:rsid w:val="00735919"/>
    <w:rsid w:val="00742B98"/>
    <w:rsid w:val="00756517"/>
    <w:rsid w:val="00780B9C"/>
    <w:rsid w:val="007818DF"/>
    <w:rsid w:val="007948BD"/>
    <w:rsid w:val="00815D97"/>
    <w:rsid w:val="0082488A"/>
    <w:rsid w:val="00842B9D"/>
    <w:rsid w:val="00865516"/>
    <w:rsid w:val="008704F1"/>
    <w:rsid w:val="008707EC"/>
    <w:rsid w:val="0087472D"/>
    <w:rsid w:val="00875CD0"/>
    <w:rsid w:val="00877FF3"/>
    <w:rsid w:val="008A4C83"/>
    <w:rsid w:val="008A6E4A"/>
    <w:rsid w:val="00906467"/>
    <w:rsid w:val="009273C3"/>
    <w:rsid w:val="00936D51"/>
    <w:rsid w:val="00954083"/>
    <w:rsid w:val="009843AE"/>
    <w:rsid w:val="009A1FBD"/>
    <w:rsid w:val="009A3D17"/>
    <w:rsid w:val="009C6F0C"/>
    <w:rsid w:val="009E42F2"/>
    <w:rsid w:val="009E570F"/>
    <w:rsid w:val="009E7AF2"/>
    <w:rsid w:val="00A00D70"/>
    <w:rsid w:val="00A04AC5"/>
    <w:rsid w:val="00A1516B"/>
    <w:rsid w:val="00A24F1C"/>
    <w:rsid w:val="00A6587F"/>
    <w:rsid w:val="00A65AFE"/>
    <w:rsid w:val="00A71B34"/>
    <w:rsid w:val="00A74C4A"/>
    <w:rsid w:val="00A876D6"/>
    <w:rsid w:val="00AA2F2E"/>
    <w:rsid w:val="00AA7A3A"/>
    <w:rsid w:val="00AC2BBE"/>
    <w:rsid w:val="00AC77A2"/>
    <w:rsid w:val="00AD56A4"/>
    <w:rsid w:val="00AD6736"/>
    <w:rsid w:val="00AE1E71"/>
    <w:rsid w:val="00B103DF"/>
    <w:rsid w:val="00B22FE1"/>
    <w:rsid w:val="00B23533"/>
    <w:rsid w:val="00B26CA4"/>
    <w:rsid w:val="00B40F2B"/>
    <w:rsid w:val="00B44232"/>
    <w:rsid w:val="00B54FE7"/>
    <w:rsid w:val="00B621E1"/>
    <w:rsid w:val="00B640F0"/>
    <w:rsid w:val="00B915F6"/>
    <w:rsid w:val="00B9432D"/>
    <w:rsid w:val="00B9614D"/>
    <w:rsid w:val="00BB6C46"/>
    <w:rsid w:val="00BD5175"/>
    <w:rsid w:val="00BD709C"/>
    <w:rsid w:val="00BF6D85"/>
    <w:rsid w:val="00BF7CF1"/>
    <w:rsid w:val="00C128B7"/>
    <w:rsid w:val="00C51153"/>
    <w:rsid w:val="00C663C0"/>
    <w:rsid w:val="00C97DB9"/>
    <w:rsid w:val="00CA09B8"/>
    <w:rsid w:val="00CE34DA"/>
    <w:rsid w:val="00CF4F56"/>
    <w:rsid w:val="00D030A0"/>
    <w:rsid w:val="00D12853"/>
    <w:rsid w:val="00D27560"/>
    <w:rsid w:val="00D84B5E"/>
    <w:rsid w:val="00DF693B"/>
    <w:rsid w:val="00E06B1F"/>
    <w:rsid w:val="00E06D5A"/>
    <w:rsid w:val="00E377D3"/>
    <w:rsid w:val="00E733DE"/>
    <w:rsid w:val="00E74A3C"/>
    <w:rsid w:val="00E77761"/>
    <w:rsid w:val="00E93DDB"/>
    <w:rsid w:val="00E97F91"/>
    <w:rsid w:val="00EC219C"/>
    <w:rsid w:val="00EE1879"/>
    <w:rsid w:val="00EE3DBC"/>
    <w:rsid w:val="00EE430F"/>
    <w:rsid w:val="00EF4868"/>
    <w:rsid w:val="00F17EBF"/>
    <w:rsid w:val="00F33425"/>
    <w:rsid w:val="00F34405"/>
    <w:rsid w:val="00F34D41"/>
    <w:rsid w:val="00F43E61"/>
    <w:rsid w:val="00F5356D"/>
    <w:rsid w:val="00F54040"/>
    <w:rsid w:val="00F671D1"/>
    <w:rsid w:val="00F71845"/>
    <w:rsid w:val="00F7477A"/>
    <w:rsid w:val="00F76B4F"/>
    <w:rsid w:val="00F95C7E"/>
    <w:rsid w:val="00F96B3A"/>
    <w:rsid w:val="00FB3C1A"/>
    <w:rsid w:val="00FC087B"/>
    <w:rsid w:val="00FD2FED"/>
    <w:rsid w:val="00FD3377"/>
    <w:rsid w:val="00FD7928"/>
    <w:rsid w:val="00FE738A"/>
    <w:rsid w:val="00FF18EE"/>
    <w:rsid w:val="00FF3210"/>
    <w:rsid w:val="00FF4229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EB5595"/>
  <w15:chartTrackingRefBased/>
  <w15:docId w15:val="{28A6B21F-6FAD-4B13-955B-AD53982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58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setznormueberschrift">
    <w:name w:val="gesetz_normueberschrift"/>
    <w:basedOn w:val="Absatz-Standardschriftart"/>
    <w:rsid w:val="00A71B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7C6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7C6B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6459EC"/>
    <w:pPr>
      <w:jc w:val="both"/>
    </w:pPr>
    <w:rPr>
      <w:rFonts w:ascii="Arial" w:hAnsi="Arial"/>
      <w:sz w:val="22"/>
    </w:rPr>
  </w:style>
  <w:style w:type="character" w:customStyle="1" w:styleId="TextkrperZchn">
    <w:name w:val="Textkörper Zchn"/>
    <w:basedOn w:val="Absatz-Standardschriftart"/>
    <w:link w:val="Textkrper"/>
    <w:rsid w:val="006459EC"/>
    <w:rPr>
      <w:rFonts w:ascii="Arial" w:eastAsia="Times New Roman" w:hAnsi="Arial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unhideWhenUsed/>
    <w:rsid w:val="00BF7CF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BF7CF1"/>
  </w:style>
  <w:style w:type="paragraph" w:styleId="Kopfzeile">
    <w:name w:val="header"/>
    <w:aliases w:val="Kopfzeile1"/>
    <w:basedOn w:val="Standard"/>
    <w:link w:val="KopfzeileZchn"/>
    <w:semiHidden/>
    <w:rsid w:val="00BF7C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1 Zchn"/>
    <w:basedOn w:val="Absatz-Standardschriftart"/>
    <w:link w:val="Kopfzeile"/>
    <w:semiHidden/>
    <w:rsid w:val="00BF7CF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BF7CF1"/>
  </w:style>
  <w:style w:type="paragraph" w:styleId="Fuzeile">
    <w:name w:val="footer"/>
    <w:basedOn w:val="Standard"/>
    <w:link w:val="FuzeileZchn"/>
    <w:semiHidden/>
    <w:rsid w:val="00BF7C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BF7CF1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51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krper21">
    <w:name w:val="WW-Textkörper 21"/>
    <w:basedOn w:val="Standard"/>
    <w:rsid w:val="00B54FE7"/>
    <w:pPr>
      <w:suppressAutoHyphens/>
      <w:jc w:val="both"/>
    </w:pPr>
    <w:rPr>
      <w:rFonts w:ascii="Arial" w:hAnsi="Arial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915F6"/>
    <w:pPr>
      <w:suppressAutoHyphens/>
      <w:jc w:val="both"/>
    </w:pPr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915F6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ufzhlung2">
    <w:name w:val="Aufzählung 2"/>
    <w:basedOn w:val="Standard"/>
    <w:autoRedefine/>
    <w:rsid w:val="00B915F6"/>
    <w:pPr>
      <w:numPr>
        <w:numId w:val="10"/>
      </w:numPr>
      <w:spacing w:before="60" w:after="60"/>
      <w:jc w:val="both"/>
    </w:pPr>
    <w:rPr>
      <w:rFonts w:ascii="Arial" w:hAnsi="Arial"/>
      <w:bCs/>
      <w:sz w:val="22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B91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1890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MSH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Kuche</dc:creator>
  <cp:keywords/>
  <dc:description/>
  <cp:lastModifiedBy>Bruchardt, Katrin</cp:lastModifiedBy>
  <cp:revision>3</cp:revision>
  <cp:lastPrinted>2025-11-12T12:52:00Z</cp:lastPrinted>
  <dcterms:created xsi:type="dcterms:W3CDTF">2026-04-23T07:35:00Z</dcterms:created>
  <dcterms:modified xsi:type="dcterms:W3CDTF">2026-04-23T07:46:00Z</dcterms:modified>
</cp:coreProperties>
</file>