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E60F" w14:textId="77777777" w:rsidR="00B4622A" w:rsidRPr="00251700" w:rsidRDefault="00B4622A" w:rsidP="00B4622A">
      <w:pPr>
        <w:spacing w:after="0"/>
        <w:jc w:val="center"/>
        <w:rPr>
          <w:b/>
        </w:rPr>
      </w:pPr>
      <w:bookmarkStart w:id="0" w:name="_GoBack"/>
      <w:bookmarkEnd w:id="0"/>
      <w:r w:rsidRPr="00251700">
        <w:rPr>
          <w:b/>
        </w:rPr>
        <w:t>Bekanntgabe</w:t>
      </w:r>
    </w:p>
    <w:p w14:paraId="2A24BDC5" w14:textId="77777777" w:rsidR="00B4622A" w:rsidRPr="00251700" w:rsidRDefault="00B4622A" w:rsidP="00B4622A">
      <w:pPr>
        <w:spacing w:after="0"/>
        <w:jc w:val="center"/>
        <w:rPr>
          <w:b/>
        </w:rPr>
      </w:pPr>
      <w:r w:rsidRPr="00251700">
        <w:rPr>
          <w:b/>
        </w:rPr>
        <w:t>der Landesdirektion Sachsen</w:t>
      </w:r>
    </w:p>
    <w:p w14:paraId="5E90ECC1" w14:textId="77777777" w:rsidR="00B4622A" w:rsidRPr="00251700" w:rsidRDefault="00B4622A" w:rsidP="00B4622A">
      <w:pPr>
        <w:spacing w:after="0"/>
        <w:jc w:val="center"/>
        <w:rPr>
          <w:b/>
        </w:rPr>
      </w:pPr>
      <w:r w:rsidRPr="00251700">
        <w:rPr>
          <w:b/>
        </w:rPr>
        <w:t xml:space="preserve">nach </w:t>
      </w:r>
      <w:r w:rsidR="000D724A" w:rsidRPr="00251700">
        <w:rPr>
          <w:b/>
        </w:rPr>
        <w:t>§ 5 Abs</w:t>
      </w:r>
      <w:r w:rsidR="002043AC" w:rsidRPr="00251700">
        <w:rPr>
          <w:b/>
        </w:rPr>
        <w:t>atz</w:t>
      </w:r>
      <w:r w:rsidR="00422359" w:rsidRPr="00251700">
        <w:rPr>
          <w:b/>
        </w:rPr>
        <w:t xml:space="preserve"> 2 </w:t>
      </w:r>
      <w:r w:rsidR="000D724A" w:rsidRPr="00251700">
        <w:rPr>
          <w:b/>
        </w:rPr>
        <w:t>des</w:t>
      </w:r>
      <w:r w:rsidRPr="00251700">
        <w:rPr>
          <w:b/>
        </w:rPr>
        <w:t xml:space="preserve"> Gesetz</w:t>
      </w:r>
      <w:r w:rsidR="000D724A" w:rsidRPr="00251700">
        <w:rPr>
          <w:b/>
        </w:rPr>
        <w:t>es</w:t>
      </w:r>
      <w:r w:rsidRPr="00251700">
        <w:rPr>
          <w:b/>
        </w:rPr>
        <w:t xml:space="preserve"> über die Umweltverträglichkeitsprüfung</w:t>
      </w:r>
    </w:p>
    <w:p w14:paraId="78D79F2C" w14:textId="4CBDF693" w:rsidR="00B4622A" w:rsidRPr="00251700" w:rsidRDefault="00B4622A" w:rsidP="00B4622A">
      <w:pPr>
        <w:spacing w:after="0"/>
        <w:jc w:val="center"/>
        <w:rPr>
          <w:b/>
        </w:rPr>
      </w:pPr>
      <w:r w:rsidRPr="00251700">
        <w:rPr>
          <w:b/>
        </w:rPr>
        <w:t xml:space="preserve">für das Vorhaben </w:t>
      </w:r>
      <w:r w:rsidR="00585591" w:rsidRPr="00251700">
        <w:rPr>
          <w:b/>
        </w:rPr>
        <w:t>„</w:t>
      </w:r>
      <w:r w:rsidR="00BC3B58">
        <w:rPr>
          <w:b/>
        </w:rPr>
        <w:t xml:space="preserve">Campuslinie </w:t>
      </w:r>
      <w:r w:rsidR="00BC3B58" w:rsidRPr="00BC3B58">
        <w:rPr>
          <w:b/>
          <w:szCs w:val="22"/>
        </w:rPr>
        <w:t>Zwischenausbau TA 1.2 / TA 1.3 - Nürnberger Straße zwischen Hübnerstraße u. Nürnberger Platz</w:t>
      </w:r>
      <w:r w:rsidR="00BC3B58">
        <w:rPr>
          <w:b/>
          <w:szCs w:val="22"/>
        </w:rPr>
        <w:t xml:space="preserve"> - verkehrswirksame Gleisanbindung an das Bestandsnetz</w:t>
      </w:r>
      <w:r w:rsidR="00585591" w:rsidRPr="00251700">
        <w:rPr>
          <w:b/>
          <w:szCs w:val="22"/>
        </w:rPr>
        <w:t>“</w:t>
      </w:r>
    </w:p>
    <w:p w14:paraId="03024CE1" w14:textId="39E995CE" w:rsidR="00B4622A" w:rsidRPr="00251700" w:rsidRDefault="00B4622A" w:rsidP="00B4622A">
      <w:pPr>
        <w:jc w:val="center"/>
        <w:rPr>
          <w:b/>
        </w:rPr>
      </w:pPr>
      <w:r w:rsidRPr="00251700">
        <w:rPr>
          <w:b/>
        </w:rPr>
        <w:t xml:space="preserve">Gz.: </w:t>
      </w:r>
      <w:r w:rsidR="00BC3B58" w:rsidRPr="00BC3B58">
        <w:rPr>
          <w:b/>
        </w:rPr>
        <w:t>32-0522/1768</w:t>
      </w:r>
    </w:p>
    <w:p w14:paraId="0A4C0AD0" w14:textId="48B88D99" w:rsidR="00B4622A" w:rsidRPr="00251700" w:rsidRDefault="00B4622A" w:rsidP="00387528">
      <w:pPr>
        <w:jc w:val="center"/>
        <w:rPr>
          <w:b/>
        </w:rPr>
      </w:pPr>
      <w:r w:rsidRPr="00251700">
        <w:rPr>
          <w:b/>
        </w:rPr>
        <w:t xml:space="preserve">Vom </w:t>
      </w:r>
      <w:r w:rsidR="00B217A0">
        <w:rPr>
          <w:b/>
        </w:rPr>
        <w:t>16</w:t>
      </w:r>
      <w:r w:rsidR="00643C76">
        <w:rPr>
          <w:b/>
        </w:rPr>
        <w:t xml:space="preserve">. </w:t>
      </w:r>
      <w:r w:rsidR="00563CFB">
        <w:rPr>
          <w:b/>
        </w:rPr>
        <w:t>Juli</w:t>
      </w:r>
      <w:r w:rsidR="008160AD">
        <w:rPr>
          <w:b/>
        </w:rPr>
        <w:t xml:space="preserve"> </w:t>
      </w:r>
      <w:r w:rsidR="00563CFB">
        <w:rPr>
          <w:b/>
        </w:rPr>
        <w:t>2025</w:t>
      </w:r>
    </w:p>
    <w:p w14:paraId="22479473" w14:textId="77777777" w:rsidR="008E7086" w:rsidRPr="00251700" w:rsidRDefault="008E7086" w:rsidP="008E7086">
      <w:pPr>
        <w:ind w:firstLine="567"/>
      </w:pPr>
      <w:r w:rsidRPr="00251700">
        <w:t>Di</w:t>
      </w:r>
      <w:r w:rsidR="002C1839" w:rsidRPr="00251700">
        <w:t>ese Bekanntgabe erfolgt gemäß § 5 Absatz 2 Sätze </w:t>
      </w:r>
      <w:r w:rsidRPr="00251700">
        <w:t>1 bis 3 des Gesetzes über die Umweltverträglichkeitsprüfung in der Fassung der Bekanntmach</w:t>
      </w:r>
      <w:r w:rsidR="002C1839" w:rsidRPr="00251700">
        <w:t>ung vom 24. Februar 2010 (BGBl. </w:t>
      </w:r>
      <w:r w:rsidRPr="00251700">
        <w:t xml:space="preserve">I S. 94), das zuletzt durch </w:t>
      </w:r>
      <w:r w:rsidR="002C1839" w:rsidRPr="00251700">
        <w:t xml:space="preserve">Artikel 2 des Gesetzes vom </w:t>
      </w:r>
      <w:r w:rsidR="008C56DD" w:rsidRPr="00251700">
        <w:t>12</w:t>
      </w:r>
      <w:r w:rsidR="002C1839" w:rsidRPr="00251700">
        <w:t>. </w:t>
      </w:r>
      <w:r w:rsidR="008C56DD" w:rsidRPr="00251700">
        <w:t>Dez</w:t>
      </w:r>
      <w:r w:rsidRPr="00251700">
        <w:t>em</w:t>
      </w:r>
      <w:r w:rsidR="007875B1" w:rsidRPr="00251700">
        <w:t>ber 201</w:t>
      </w:r>
      <w:r w:rsidR="008C56DD" w:rsidRPr="00251700">
        <w:t>9</w:t>
      </w:r>
      <w:r w:rsidR="002C1839" w:rsidRPr="00251700">
        <w:t xml:space="preserve"> (BGBl. </w:t>
      </w:r>
      <w:r w:rsidR="007875B1" w:rsidRPr="00251700">
        <w:t>I S. </w:t>
      </w:r>
      <w:r w:rsidR="008C56DD" w:rsidRPr="00251700">
        <w:t>2513</w:t>
      </w:r>
      <w:r w:rsidR="008A393E" w:rsidRPr="00251700">
        <w:t>)</w:t>
      </w:r>
      <w:r w:rsidRPr="00251700">
        <w:t xml:space="preserve"> geändert worden ist.</w:t>
      </w:r>
    </w:p>
    <w:p w14:paraId="06E53735" w14:textId="617F8484" w:rsidR="00B4622A" w:rsidRPr="00251700" w:rsidRDefault="00E82380" w:rsidP="00387528">
      <w:pPr>
        <w:spacing w:before="240"/>
        <w:ind w:firstLine="567"/>
      </w:pPr>
      <w:r w:rsidRPr="00251700">
        <w:t xml:space="preserve">Die Dresdner Verkehrsbetriebe AG </w:t>
      </w:r>
      <w:r w:rsidR="00B4622A" w:rsidRPr="00251700">
        <w:t xml:space="preserve">hat bei der Landesdirektion Sachsen mit Schreiben </w:t>
      </w:r>
      <w:r w:rsidR="00B4622A" w:rsidRPr="00251700">
        <w:rPr>
          <w:rFonts w:cs="Arial"/>
          <w:szCs w:val="22"/>
        </w:rPr>
        <w:t xml:space="preserve">einen Antrag auf </w:t>
      </w:r>
      <w:r w:rsidR="00646636" w:rsidRPr="00251700">
        <w:rPr>
          <w:rFonts w:cs="Arial"/>
          <w:szCs w:val="22"/>
        </w:rPr>
        <w:t>Plangenehmigung</w:t>
      </w:r>
      <w:r w:rsidR="00B4622A" w:rsidRPr="00251700">
        <w:rPr>
          <w:rFonts w:cs="Arial"/>
          <w:szCs w:val="22"/>
        </w:rPr>
        <w:t xml:space="preserve"> des Vorhabens gestellt.</w:t>
      </w:r>
      <w:r w:rsidR="00387528" w:rsidRPr="00251700">
        <w:rPr>
          <w:rFonts w:cs="Arial"/>
          <w:szCs w:val="22"/>
        </w:rPr>
        <w:t xml:space="preserve"> </w:t>
      </w:r>
    </w:p>
    <w:p w14:paraId="228392EB" w14:textId="094C5D96" w:rsidR="00B4622A" w:rsidRPr="00251700" w:rsidRDefault="00B4622A" w:rsidP="00387528">
      <w:pPr>
        <w:spacing w:before="240"/>
        <w:ind w:firstLine="567"/>
      </w:pPr>
      <w:r w:rsidRPr="00251700">
        <w:t xml:space="preserve">Das Vorhaben </w:t>
      </w:r>
      <w:r w:rsidR="00CC7F30" w:rsidRPr="00CC7F30">
        <w:t>„Campuslinie Zwischenausbau TA 1.2 / TA 1.3 - Nürnberger Straße zwischen Hübnerstraße u. Nürnberger Platz - verkehrswirksame Gleisanbindung an das Bestandsnetz“</w:t>
      </w:r>
      <w:r w:rsidR="00CC7F30">
        <w:t xml:space="preserve"> </w:t>
      </w:r>
      <w:r w:rsidR="00585591" w:rsidRPr="00251700">
        <w:t>fä</w:t>
      </w:r>
      <w:r w:rsidRPr="00251700">
        <w:t>llt in den Anwendungsbereich des Gesetzes über die Umwelt</w:t>
      </w:r>
      <w:r w:rsidR="00751A65" w:rsidRPr="00251700">
        <w:t>verträglichkeitsprüfung. Dementsprechend</w:t>
      </w:r>
      <w:r w:rsidRPr="00251700">
        <w:t xml:space="preserve"> </w:t>
      </w:r>
      <w:r w:rsidR="006B2A51" w:rsidRPr="00251700">
        <w:t>hat</w:t>
      </w:r>
      <w:r w:rsidRPr="00251700">
        <w:t xml:space="preserve"> die Landesdirektion Sachsen eine </w:t>
      </w:r>
      <w:r w:rsidR="009B7F43" w:rsidRPr="00251700">
        <w:t>allgemeine</w:t>
      </w:r>
      <w:r w:rsidRPr="00251700">
        <w:t xml:space="preserve"> Vorprüfung des Einzelfalls </w:t>
      </w:r>
      <w:r w:rsidR="006B2A51" w:rsidRPr="00251700">
        <w:t>vorgenommen</w:t>
      </w:r>
      <w:r w:rsidRPr="00251700">
        <w:t>.</w:t>
      </w:r>
    </w:p>
    <w:p w14:paraId="2CA810B9" w14:textId="58A0BBF6" w:rsidR="00B4622A" w:rsidRPr="00251700" w:rsidRDefault="00E721DA" w:rsidP="00387528">
      <w:pPr>
        <w:spacing w:before="240"/>
        <w:ind w:firstLine="567"/>
        <w:rPr>
          <w:i/>
        </w:rPr>
      </w:pPr>
      <w:r w:rsidRPr="00251700">
        <w:t xml:space="preserve">Im Rahmen dieser Vorprüfung wurde am </w:t>
      </w:r>
      <w:r w:rsidR="00CC7F30">
        <w:t>16.</w:t>
      </w:r>
      <w:r w:rsidR="00643C76">
        <w:t xml:space="preserve"> </w:t>
      </w:r>
      <w:r w:rsidR="00CC7F30">
        <w:t xml:space="preserve">Juli </w:t>
      </w:r>
      <w:r w:rsidR="00643C76">
        <w:t>202</w:t>
      </w:r>
      <w:r w:rsidR="00CC7F30">
        <w:t>5</w:t>
      </w:r>
      <w:r w:rsidR="00B4622A" w:rsidRPr="00251700">
        <w:t xml:space="preserve"> </w:t>
      </w:r>
      <w:r w:rsidRPr="00251700">
        <w:t>festgestellt</w:t>
      </w:r>
      <w:r w:rsidR="00B4622A" w:rsidRPr="00251700">
        <w:t xml:space="preserve">, dass keine </w:t>
      </w:r>
      <w:r w:rsidR="006B2A51" w:rsidRPr="00251700">
        <w:t>Pflicht</w:t>
      </w:r>
      <w:r w:rsidR="00B4622A" w:rsidRPr="00251700">
        <w:t xml:space="preserve"> zur Durchführung einer Umweltverträglichkeitsprüfung besteht. </w:t>
      </w:r>
      <w:r w:rsidR="006B2A51" w:rsidRPr="00251700">
        <w:t>Das</w:t>
      </w:r>
      <w:r w:rsidR="00B4622A" w:rsidRPr="00251700">
        <w:t xml:space="preserve"> Vorhaben </w:t>
      </w:r>
      <w:r w:rsidR="006B2A51" w:rsidRPr="00251700">
        <w:t xml:space="preserve">hat </w:t>
      </w:r>
      <w:r w:rsidR="00B4622A" w:rsidRPr="00251700">
        <w:t xml:space="preserve">keine erheblichen nachteiligen Umweltauswirkungen auf die Umweltschutzgüter, die nach dem </w:t>
      </w:r>
      <w:r w:rsidR="007875B1" w:rsidRPr="00251700">
        <w:t xml:space="preserve">Gesetz über die Umweltverträglichkeitsprüfung </w:t>
      </w:r>
      <w:r w:rsidR="00F60159" w:rsidRPr="00251700">
        <w:t xml:space="preserve">bei der Zulassungsentscheidung </w:t>
      </w:r>
      <w:r w:rsidR="00B4622A" w:rsidRPr="00251700">
        <w:t>zu berücksichtigen</w:t>
      </w:r>
      <w:r w:rsidR="00F60159" w:rsidRPr="00251700">
        <w:t xml:space="preserve"> wären</w:t>
      </w:r>
      <w:r w:rsidR="00B4622A" w:rsidRPr="00251700">
        <w:t>.</w:t>
      </w:r>
      <w:r w:rsidR="006B2A51" w:rsidRPr="00251700">
        <w:t xml:space="preserve"> </w:t>
      </w:r>
      <w:r w:rsidR="00326CA9" w:rsidRPr="00251700">
        <w:t>Für diese Einschätzung</w:t>
      </w:r>
      <w:r w:rsidR="006B2A51" w:rsidRPr="00251700">
        <w:t xml:space="preserve"> </w:t>
      </w:r>
      <w:r w:rsidR="00326CA9" w:rsidRPr="00251700">
        <w:t>sind folgende</w:t>
      </w:r>
      <w:r w:rsidR="00B4622A" w:rsidRPr="00251700">
        <w:t xml:space="preserve"> wesentliche Gründe </w:t>
      </w:r>
      <w:r w:rsidR="00326CA9" w:rsidRPr="00251700">
        <w:t>maßgebend:</w:t>
      </w:r>
      <w:r w:rsidR="000D724A" w:rsidRPr="00251700">
        <w:t xml:space="preserve"> </w:t>
      </w:r>
    </w:p>
    <w:p w14:paraId="46964A65" w14:textId="2E2F7B69" w:rsidR="00B4622A" w:rsidRPr="00251700" w:rsidRDefault="00A71434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</w:r>
      <w:r w:rsidR="00B4622A" w:rsidRPr="00251700">
        <w:t>die unerhebliche Größe und Ausgesta</w:t>
      </w:r>
      <w:r w:rsidR="00092420">
        <w:t xml:space="preserve">ltung des gesamten Vorhabens </w:t>
      </w:r>
    </w:p>
    <w:p w14:paraId="0EB0DF95" w14:textId="0F5EBF9E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das</w:t>
      </w:r>
      <w:r w:rsidR="00E82380" w:rsidRPr="00251700">
        <w:t xml:space="preserve"> nicht vorhandene </w:t>
      </w:r>
      <w:r w:rsidRPr="00251700">
        <w:t>Zusammenwirken mit anderen bestehenden oder zugelassenen Vorhaben und Tätigkeiten,</w:t>
      </w:r>
    </w:p>
    <w:p w14:paraId="327E1745" w14:textId="223AA845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die</w:t>
      </w:r>
      <w:r w:rsidR="00E82380" w:rsidRPr="00251700">
        <w:t xml:space="preserve"> unerhebliche</w:t>
      </w:r>
      <w:r w:rsidRPr="00251700">
        <w:t xml:space="preserve"> Nutzung natürlicher Ressourcen, insbesondere Fläche, Boden, Wasser, Tiere, Pflanzen und biologische Vielfalt,</w:t>
      </w:r>
    </w:p>
    <w:p w14:paraId="2A4F7820" w14:textId="72C82CEE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 xml:space="preserve">die </w:t>
      </w:r>
      <w:r w:rsidR="00E82380" w:rsidRPr="00251700">
        <w:t>unerhebliche</w:t>
      </w:r>
      <w:r w:rsidRPr="00251700">
        <w:t xml:space="preserve"> Erzeugung von Abfällen,</w:t>
      </w:r>
    </w:p>
    <w:p w14:paraId="45C03718" w14:textId="221CA695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</w:r>
      <w:r w:rsidR="00E82380" w:rsidRPr="00251700">
        <w:t>unerhebliche</w:t>
      </w:r>
      <w:r w:rsidRPr="00251700">
        <w:t xml:space="preserve"> Umweltverschmutzung und Belästigungen,</w:t>
      </w:r>
    </w:p>
    <w:p w14:paraId="7A0E7AE4" w14:textId="1F7D754D" w:rsidR="00B4622A" w:rsidRPr="00251700" w:rsidRDefault="00E0620E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 xml:space="preserve">die </w:t>
      </w:r>
      <w:r w:rsidR="00E82380" w:rsidRPr="00251700">
        <w:t>unerheblichen</w:t>
      </w:r>
      <w:r w:rsidR="00B4622A" w:rsidRPr="00251700">
        <w:t xml:space="preserve"> Risiken von Störfällen, Unfällen und Katastrophen, die für das Vorhaben von Bedeutung sind, einschließlich der Störfälle,</w:t>
      </w:r>
      <w:r w:rsidR="00A71434" w:rsidRPr="00251700">
        <w:t xml:space="preserve"> </w:t>
      </w:r>
      <w:r w:rsidR="00B4622A" w:rsidRPr="00251700">
        <w:t>Unfälle und Katastrophen, die wissenschaftlichen Erkenntnissen zufolge durch den Klimawandel bedingt sind, insbesondere mit Blick auf:</w:t>
      </w:r>
    </w:p>
    <w:p w14:paraId="188D819B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die verwendeten Stoffe und Technologien,</w:t>
      </w:r>
    </w:p>
    <w:p w14:paraId="07B1C5B1" w14:textId="73995D34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 xml:space="preserve">die </w:t>
      </w:r>
      <w:r w:rsidR="00E82380" w:rsidRPr="00251700">
        <w:t>unerhebliche</w:t>
      </w:r>
      <w:r w:rsidRPr="00251700">
        <w:t xml:space="preserve"> Anfälligkeit des Vorhabens für Störfälle, insbesondere aufgrund seiner Verwirklichung innerhalb des angemessenen Sicherhei</w:t>
      </w:r>
      <w:r w:rsidR="00A37483" w:rsidRPr="00251700">
        <w:t>tsabstandes zu Betriebsbereichen</w:t>
      </w:r>
    </w:p>
    <w:p w14:paraId="6A1594FC" w14:textId="77777777" w:rsidR="00563CFB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 xml:space="preserve">die </w:t>
      </w:r>
      <w:r w:rsidR="00E82380" w:rsidRPr="00251700">
        <w:t>unerheblichen</w:t>
      </w:r>
      <w:r w:rsidRPr="00251700">
        <w:t xml:space="preserve"> Risiken für d</w:t>
      </w:r>
      <w:r w:rsidR="00CD69F6" w:rsidRPr="00251700">
        <w:t>ie menschliche Gesundheit, zum Beispiel</w:t>
      </w:r>
      <w:r w:rsidRPr="00251700">
        <w:t xml:space="preserve"> durch Veru</w:t>
      </w:r>
      <w:r w:rsidR="00563CFB">
        <w:t xml:space="preserve">nreinigung von Wasser oder Luft: </w:t>
      </w:r>
    </w:p>
    <w:p w14:paraId="49F9DB7C" w14:textId="7785C128" w:rsidR="00B4622A" w:rsidRDefault="00563CFB" w:rsidP="00563CFB">
      <w:pPr>
        <w:pStyle w:val="Listenabsatz"/>
        <w:numPr>
          <w:ilvl w:val="0"/>
          <w:numId w:val="22"/>
        </w:numPr>
        <w:tabs>
          <w:tab w:val="left" w:pos="284"/>
        </w:tabs>
        <w:spacing w:before="240"/>
      </w:pPr>
      <w:r>
        <w:t>Eine schalltechnische Untersuchung vom Juli 2024 ergab keine Wesentliche Änderung iSd. 16 BImSchV</w:t>
      </w:r>
    </w:p>
    <w:p w14:paraId="3FE8BC99" w14:textId="38B5D70B" w:rsidR="00563CFB" w:rsidRPr="00251700" w:rsidRDefault="00563CFB" w:rsidP="00563CFB">
      <w:pPr>
        <w:pStyle w:val="Listenabsatz"/>
        <w:numPr>
          <w:ilvl w:val="0"/>
          <w:numId w:val="22"/>
        </w:numPr>
        <w:tabs>
          <w:tab w:val="left" w:pos="284"/>
        </w:tabs>
        <w:spacing w:before="240"/>
      </w:pPr>
      <w:r>
        <w:lastRenderedPageBreak/>
        <w:t>Es handelt sich um eine ÖPNV-Maßnahme, welche keine Erhöhung des motorisierten Individualverkehrs zur Folge hat. Es wird mit positiven Auswirkungen auf die lufthygienische Situation gerechnet.</w:t>
      </w:r>
    </w:p>
    <w:p w14:paraId="11660921" w14:textId="2917A249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 xml:space="preserve">die </w:t>
      </w:r>
      <w:r w:rsidR="00CD69F6" w:rsidRPr="00251700">
        <w:t xml:space="preserve">bestehende </w:t>
      </w:r>
      <w:r w:rsidR="00563CFB">
        <w:t>Prägung des Gebietes durch Einzelhandel, Wohnbebauung und der Technischen Universität Dresden</w:t>
      </w:r>
    </w:p>
    <w:p w14:paraId="1278EBBE" w14:textId="64A25208" w:rsidR="00B4622A" w:rsidRPr="00251700" w:rsidRDefault="008537C8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 xml:space="preserve">der </w:t>
      </w:r>
      <w:r w:rsidR="00B4622A" w:rsidRPr="00251700">
        <w:t>unerhebliche</w:t>
      </w:r>
      <w:r w:rsidRPr="00251700">
        <w:t xml:space="preserve"> Reichtum, die </w:t>
      </w:r>
      <w:r w:rsidR="00B4622A" w:rsidRPr="00251700">
        <w:t>nicht vorhandene</w:t>
      </w:r>
      <w:r w:rsidRPr="00251700">
        <w:t xml:space="preserve"> </w:t>
      </w:r>
      <w:r w:rsidR="00B4622A" w:rsidRPr="00251700">
        <w:t>Verfügbarkeit, Qualität und Regenerationsfähigkeit der natürlichen Ressourcen, insbesondere Fläche, Boden, Landschaft, Wasser, Tiere, Pflanzen, biologische Vielfalt, des Gebiets und seines Untergrunds (Qualitätskriterien),</w:t>
      </w:r>
    </w:p>
    <w:p w14:paraId="43F886B4" w14:textId="77777777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die Belastbarkeit der Schutzgüter unter besonderer Berücksichtigung folgender Gebiete und von Art und Umfang des ihnen jeweils zugewiesenen Schutzes (Schutzkriterien):</w:t>
      </w:r>
    </w:p>
    <w:p w14:paraId="30548773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Natura 2000-Gebiete,</w:t>
      </w:r>
    </w:p>
    <w:p w14:paraId="35DD1B5F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Naturschutzgebiete,</w:t>
      </w:r>
    </w:p>
    <w:p w14:paraId="7E6FE81F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Nationalparke und Nationale Naturmonumente,</w:t>
      </w:r>
    </w:p>
    <w:p w14:paraId="2628DA96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Biosphärenreservate und Landschaftsschutzgebiete,</w:t>
      </w:r>
    </w:p>
    <w:p w14:paraId="08566092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Naturdenkmäler,</w:t>
      </w:r>
    </w:p>
    <w:p w14:paraId="74C37DBA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geschützte Landschaftsbestandteile, einschließlich Alleen,</w:t>
      </w:r>
    </w:p>
    <w:p w14:paraId="0ABB4DB9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gesetzlich geschützte Biotope,</w:t>
      </w:r>
    </w:p>
    <w:p w14:paraId="4EA15D24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Wasserschutzgebiete, Heilquellenschutzgebiete, Risikogebiete sowie Überschwemmungsgebiete,</w:t>
      </w:r>
    </w:p>
    <w:p w14:paraId="1F7F0AFE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Gebiete, in denen die in Vorschriften der Europäischen Union festgelegten Umweltqualitätsnormen bereits überschritten sind,</w:t>
      </w:r>
    </w:p>
    <w:p w14:paraId="67D56EBD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Gebiete mit hoher Bevölkerungsdichte, insbesondere Zentrale Orte,</w:t>
      </w:r>
    </w:p>
    <w:p w14:paraId="020638E8" w14:textId="77777777" w:rsidR="00B4622A" w:rsidRPr="00251700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251700">
        <w:t>in amtlichen Listen oder Karten verzeichnete Denkmäler, Denkmalensembles, Bodendenkmäler oder Gebiete, die von der durch die Länder bestimmten Denkmalschutzbehörde als archäologisch bedeutende Landschaften eingestuft worden sind,</w:t>
      </w:r>
    </w:p>
    <w:p w14:paraId="43C1D381" w14:textId="042EFAE4" w:rsidR="00B4622A" w:rsidRPr="00251700" w:rsidRDefault="004A2E77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die</w:t>
      </w:r>
      <w:r w:rsidR="00B4622A" w:rsidRPr="00251700">
        <w:t xml:space="preserve"> Art und d</w:t>
      </w:r>
      <w:r w:rsidRPr="00251700">
        <w:t>as</w:t>
      </w:r>
      <w:r w:rsidR="00B4622A" w:rsidRPr="00251700">
        <w:t xml:space="preserve"> unerhebliche Ausmaß der Auswirkungen, insbesondere hinsichtlich des </w:t>
      </w:r>
      <w:r w:rsidR="00CD69F6" w:rsidRPr="00251700">
        <w:t xml:space="preserve">betroffenen </w:t>
      </w:r>
      <w:r w:rsidR="00B4622A" w:rsidRPr="00251700">
        <w:t xml:space="preserve">geographischen Gebietes und der unerheblichen Anzahl von </w:t>
      </w:r>
      <w:r w:rsidR="00CD69F6" w:rsidRPr="00251700">
        <w:t xml:space="preserve">betroffenen </w:t>
      </w:r>
      <w:r w:rsidR="00B4622A" w:rsidRPr="00251700">
        <w:t>Personen,</w:t>
      </w:r>
    </w:p>
    <w:p w14:paraId="7DDBD0AE" w14:textId="50366BEE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de</w:t>
      </w:r>
      <w:r w:rsidR="004A2E77" w:rsidRPr="00251700">
        <w:t>r</w:t>
      </w:r>
      <w:r w:rsidR="00483E20" w:rsidRPr="00251700">
        <w:t xml:space="preserve"> </w:t>
      </w:r>
      <w:r w:rsidRPr="00251700">
        <w:t xml:space="preserve">nicht vorhandene </w:t>
      </w:r>
      <w:r w:rsidR="004A2E77" w:rsidRPr="00251700">
        <w:t>grenzüberschreitende</w:t>
      </w:r>
      <w:r w:rsidRPr="00251700">
        <w:t xml:space="preserve"> Charakter der Auswirkungen,</w:t>
      </w:r>
    </w:p>
    <w:p w14:paraId="74E1ABBA" w14:textId="334B8F4C" w:rsidR="00B4622A" w:rsidRPr="00251700" w:rsidRDefault="004A2E77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die</w:t>
      </w:r>
      <w:r w:rsidR="00483E20" w:rsidRPr="00251700">
        <w:t xml:space="preserve"> </w:t>
      </w:r>
      <w:r w:rsidR="00B4622A" w:rsidRPr="00251700">
        <w:t>nicht vorhandene Schwere und Komplexität der Auswirkungen,</w:t>
      </w:r>
    </w:p>
    <w:p w14:paraId="1085FCFA" w14:textId="77777777" w:rsidR="00B4622A" w:rsidRPr="00251700" w:rsidRDefault="004A2E77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die</w:t>
      </w:r>
      <w:r w:rsidR="00B4622A" w:rsidRPr="00251700">
        <w:t xml:space="preserve"> Wahrscheinlichkeit von Auswirkungen,</w:t>
      </w:r>
    </w:p>
    <w:p w14:paraId="7F46C6C7" w14:textId="77777777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de</w:t>
      </w:r>
      <w:r w:rsidR="004A2E77" w:rsidRPr="00251700">
        <w:t>r</w:t>
      </w:r>
      <w:r w:rsidRPr="00251700">
        <w:t xml:space="preserve"> voraussichtliche Zeitpunkt des Eintretens sowie d</w:t>
      </w:r>
      <w:r w:rsidR="004A2E77" w:rsidRPr="00251700">
        <w:t>ie</w:t>
      </w:r>
      <w:r w:rsidRPr="00251700">
        <w:t xml:space="preserve"> Umkehrbarkeit und d</w:t>
      </w:r>
      <w:r w:rsidR="004A2E77" w:rsidRPr="00251700">
        <w:t>ie</w:t>
      </w:r>
      <w:r w:rsidRPr="00251700">
        <w:t xml:space="preserve"> geringe Dauer und Häufigkeit der Auswirkungen,</w:t>
      </w:r>
    </w:p>
    <w:p w14:paraId="5944B6D4" w14:textId="01B10032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</w:t>
      </w:r>
      <w:r w:rsidR="004A2E77" w:rsidRPr="00251700">
        <w:t>as</w:t>
      </w:r>
      <w:r w:rsidR="00483E20" w:rsidRPr="00251700">
        <w:t xml:space="preserve"> unerhebliche</w:t>
      </w:r>
      <w:r w:rsidRPr="00251700">
        <w:t xml:space="preserve"> Zusammenwirken der Auswirkungen mit den Auswirkungen anderer bestehender oder zugelassener Vorhaben,</w:t>
      </w:r>
    </w:p>
    <w:p w14:paraId="3C26CAA4" w14:textId="77777777" w:rsidR="00B4622A" w:rsidRPr="00251700" w:rsidRDefault="00B4622A" w:rsidP="002F569A">
      <w:pPr>
        <w:tabs>
          <w:tab w:val="left" w:pos="284"/>
        </w:tabs>
        <w:spacing w:before="240"/>
        <w:ind w:left="851" w:hanging="284"/>
      </w:pPr>
      <w:r w:rsidRPr="00251700">
        <w:t>-</w:t>
      </w:r>
      <w:r w:rsidRPr="00251700">
        <w:tab/>
        <w:t>d</w:t>
      </w:r>
      <w:r w:rsidR="004A2E77" w:rsidRPr="00251700">
        <w:t>ie</w:t>
      </w:r>
      <w:r w:rsidRPr="00251700">
        <w:t xml:space="preserve"> Möglichkeit, die Auswirkungen wirksam zu vermindern.</w:t>
      </w:r>
    </w:p>
    <w:p w14:paraId="3738D76F" w14:textId="2898A53B" w:rsidR="00C70110" w:rsidRPr="00251700" w:rsidRDefault="00C70110" w:rsidP="00387528">
      <w:pPr>
        <w:spacing w:before="240"/>
        <w:ind w:firstLine="567"/>
      </w:pPr>
      <w:r w:rsidRPr="00251700">
        <w:t xml:space="preserve">Für die Entscheidung, dass für das Vorhaben keine Pflicht zur Durchführung einer Umweltverträglichkeitsprüfung besteht, sind die folgenden Merkmale des Vorhabens </w:t>
      </w:r>
      <w:r w:rsidR="00D7344A" w:rsidRPr="00251700">
        <w:t>und des</w:t>
      </w:r>
      <w:r w:rsidR="00734CED" w:rsidRPr="00251700">
        <w:t xml:space="preserve"> Standorts</w:t>
      </w:r>
      <w:r w:rsidRPr="00251700">
        <w:t xml:space="preserve"> maßgebend:</w:t>
      </w:r>
    </w:p>
    <w:p w14:paraId="1AAD9FB5" w14:textId="6D833447" w:rsidR="00C70110" w:rsidRPr="00251700" w:rsidRDefault="001C5E41" w:rsidP="00F17FFA">
      <w:pPr>
        <w:pStyle w:val="Listenabsatz"/>
        <w:numPr>
          <w:ilvl w:val="0"/>
          <w:numId w:val="20"/>
        </w:numPr>
        <w:tabs>
          <w:tab w:val="left" w:pos="284"/>
        </w:tabs>
        <w:spacing w:before="240"/>
      </w:pPr>
      <w:r w:rsidRPr="00251700">
        <w:t xml:space="preserve">die </w:t>
      </w:r>
      <w:r w:rsidR="00483E20" w:rsidRPr="00251700">
        <w:t xml:space="preserve">bestehende Nutzung des Vorhabengebietes als </w:t>
      </w:r>
      <w:r w:rsidR="0016204A">
        <w:t>städtisches Wohngebiet</w:t>
      </w:r>
    </w:p>
    <w:p w14:paraId="097FF988" w14:textId="77777777" w:rsidR="001C5E41" w:rsidRPr="00251700" w:rsidRDefault="001C5E41" w:rsidP="001C5E41">
      <w:pPr>
        <w:pStyle w:val="Listenabsatz"/>
        <w:tabs>
          <w:tab w:val="left" w:pos="284"/>
        </w:tabs>
        <w:spacing w:before="240"/>
        <w:ind w:left="927"/>
      </w:pPr>
    </w:p>
    <w:p w14:paraId="6C2ABED8" w14:textId="2EE6FE88" w:rsidR="001C5E41" w:rsidRPr="00251700" w:rsidRDefault="001C5E41" w:rsidP="001C5E41">
      <w:pPr>
        <w:pStyle w:val="Listenabsatz"/>
        <w:numPr>
          <w:ilvl w:val="0"/>
          <w:numId w:val="20"/>
        </w:numPr>
        <w:tabs>
          <w:tab w:val="left" w:pos="284"/>
        </w:tabs>
        <w:spacing w:before="240"/>
      </w:pPr>
      <w:r w:rsidRPr="00251700">
        <w:lastRenderedPageBreak/>
        <w:t>die</w:t>
      </w:r>
      <w:r w:rsidR="005C2D4A">
        <w:t xml:space="preserve"> dadurch</w:t>
      </w:r>
      <w:r w:rsidRPr="00251700">
        <w:t xml:space="preserve"> bereits bestehende Versiegelung und Bodenbelastung im Vorhabengebiet</w:t>
      </w:r>
    </w:p>
    <w:p w14:paraId="4F8837DC" w14:textId="77777777" w:rsidR="00F17FFA" w:rsidRPr="00251700" w:rsidRDefault="00F17FFA" w:rsidP="00F17FFA">
      <w:pPr>
        <w:pStyle w:val="Listenabsatz"/>
        <w:tabs>
          <w:tab w:val="left" w:pos="284"/>
        </w:tabs>
        <w:spacing w:before="240"/>
        <w:ind w:left="927"/>
      </w:pPr>
    </w:p>
    <w:p w14:paraId="11D4A931" w14:textId="4349E582" w:rsidR="00C70110" w:rsidRPr="00251700" w:rsidRDefault="00483E20" w:rsidP="00483E20">
      <w:pPr>
        <w:pStyle w:val="Listenabsatz"/>
        <w:numPr>
          <w:ilvl w:val="0"/>
          <w:numId w:val="20"/>
        </w:numPr>
        <w:tabs>
          <w:tab w:val="left" w:pos="284"/>
        </w:tabs>
        <w:spacing w:before="240"/>
      </w:pPr>
      <w:r w:rsidRPr="00251700">
        <w:t xml:space="preserve">die überwiegend </w:t>
      </w:r>
      <w:r w:rsidR="005C2D4A">
        <w:t>b</w:t>
      </w:r>
      <w:r w:rsidRPr="00251700">
        <w:t>estandsnahe Ausführung des Vorhabens</w:t>
      </w:r>
    </w:p>
    <w:p w14:paraId="4A80AF4E" w14:textId="77777777" w:rsidR="00F17FFA" w:rsidRPr="00251700" w:rsidRDefault="00F17FFA" w:rsidP="00F17FFA">
      <w:pPr>
        <w:pStyle w:val="Listenabsatz"/>
      </w:pPr>
    </w:p>
    <w:p w14:paraId="4A93A43A" w14:textId="2E19FC17" w:rsidR="00B531EC" w:rsidRDefault="00AB3D39" w:rsidP="00BF6586">
      <w:pPr>
        <w:pStyle w:val="Listenabsatz"/>
        <w:numPr>
          <w:ilvl w:val="0"/>
          <w:numId w:val="20"/>
        </w:numPr>
        <w:tabs>
          <w:tab w:val="left" w:pos="284"/>
        </w:tabs>
        <w:spacing w:before="240"/>
      </w:pPr>
      <w:r w:rsidRPr="00251700">
        <w:t>durch die Maßnahmen entstehen keine zusätzliche Altlasten- und Grundwasserbetroffenheiten</w:t>
      </w:r>
    </w:p>
    <w:p w14:paraId="35E8BCC6" w14:textId="77777777" w:rsidR="00816A31" w:rsidRDefault="00816A31" w:rsidP="00816A31">
      <w:pPr>
        <w:pStyle w:val="Listenabsatz"/>
        <w:tabs>
          <w:tab w:val="left" w:pos="284"/>
        </w:tabs>
        <w:spacing w:before="240"/>
        <w:ind w:left="927"/>
      </w:pPr>
    </w:p>
    <w:p w14:paraId="7C1E3667" w14:textId="4B205E2E" w:rsidR="00816A31" w:rsidRDefault="00FF1823" w:rsidP="00BF6586">
      <w:pPr>
        <w:pStyle w:val="Listenabsatz"/>
        <w:numPr>
          <w:ilvl w:val="0"/>
          <w:numId w:val="20"/>
        </w:numPr>
        <w:tabs>
          <w:tab w:val="left" w:pos="284"/>
        </w:tabs>
        <w:spacing w:before="240"/>
      </w:pPr>
      <w:r>
        <w:t>d</w:t>
      </w:r>
      <w:r w:rsidR="00816A31">
        <w:t>as Vorhaben beinhaltet keine Eingriffe in bzw. Konflikte mit dem Gehölzbestand</w:t>
      </w:r>
    </w:p>
    <w:p w14:paraId="4F65C3A3" w14:textId="77777777" w:rsidR="00816A31" w:rsidRDefault="00816A31" w:rsidP="00816A31">
      <w:pPr>
        <w:pStyle w:val="Listenabsatz"/>
        <w:tabs>
          <w:tab w:val="left" w:pos="284"/>
        </w:tabs>
        <w:spacing w:before="240"/>
        <w:ind w:left="927"/>
      </w:pPr>
    </w:p>
    <w:p w14:paraId="2AE6EA61" w14:textId="4861DAC8" w:rsidR="00816A31" w:rsidRPr="00251700" w:rsidRDefault="00FF1823" w:rsidP="00BF6586">
      <w:pPr>
        <w:pStyle w:val="Listenabsatz"/>
        <w:numPr>
          <w:ilvl w:val="0"/>
          <w:numId w:val="20"/>
        </w:numPr>
        <w:tabs>
          <w:tab w:val="left" w:pos="284"/>
        </w:tabs>
        <w:spacing w:before="240"/>
      </w:pPr>
      <w:r>
        <w:t>es werden keine zusätzlichen Flächen versiegelt oder in sonst in Anspruch genommen</w:t>
      </w:r>
    </w:p>
    <w:p w14:paraId="48FBD1A4" w14:textId="77777777" w:rsidR="00AB3D39" w:rsidRPr="00251700" w:rsidRDefault="00AB3D39" w:rsidP="00AB3D39">
      <w:pPr>
        <w:pStyle w:val="Listenabsatz"/>
      </w:pPr>
    </w:p>
    <w:p w14:paraId="6B91872E" w14:textId="127A59FB" w:rsidR="00AB3D39" w:rsidRPr="00251700" w:rsidRDefault="00AB3D39" w:rsidP="00BF6586">
      <w:pPr>
        <w:pStyle w:val="Listenabsatz"/>
        <w:numPr>
          <w:ilvl w:val="0"/>
          <w:numId w:val="20"/>
        </w:numPr>
        <w:tabs>
          <w:tab w:val="left" w:pos="284"/>
        </w:tabs>
        <w:spacing w:before="240"/>
      </w:pPr>
      <w:r w:rsidRPr="00251700">
        <w:t>das Vorhaben hat keine zusätzlichen negativen Auswirkungen auf Schutzgebiete</w:t>
      </w:r>
    </w:p>
    <w:p w14:paraId="323A28BF" w14:textId="77777777" w:rsidR="00AB3D39" w:rsidRPr="00251700" w:rsidRDefault="00AB3D39" w:rsidP="00AB3D39">
      <w:pPr>
        <w:pStyle w:val="Listenabsatz"/>
      </w:pPr>
    </w:p>
    <w:p w14:paraId="7FE3D766" w14:textId="681F4CB3" w:rsidR="00FB55F0" w:rsidRPr="00251700" w:rsidRDefault="00FB55F0" w:rsidP="00666677">
      <w:pPr>
        <w:pStyle w:val="Listenabsatz"/>
        <w:numPr>
          <w:ilvl w:val="0"/>
          <w:numId w:val="20"/>
        </w:numPr>
        <w:tabs>
          <w:tab w:val="left" w:pos="284"/>
        </w:tabs>
        <w:spacing w:before="240"/>
      </w:pPr>
      <w:r w:rsidRPr="00251700">
        <w:t xml:space="preserve">Verringerung der </w:t>
      </w:r>
      <w:r w:rsidR="00784393" w:rsidRPr="00251700">
        <w:t xml:space="preserve">betriebs- und anlagebedingten </w:t>
      </w:r>
      <w:r w:rsidRPr="00251700">
        <w:t>Lärmimmissionen im Vorhabengebiet</w:t>
      </w:r>
    </w:p>
    <w:p w14:paraId="31298A39" w14:textId="3686F1A8" w:rsidR="00B4622A" w:rsidRPr="00251700" w:rsidRDefault="00B4622A" w:rsidP="00387528">
      <w:pPr>
        <w:spacing w:before="240"/>
        <w:ind w:firstLine="567"/>
      </w:pPr>
      <w:r w:rsidRPr="00251700">
        <w:t>Diese Feststellung ist nicht selbstständig anfechtbar.</w:t>
      </w:r>
    </w:p>
    <w:p w14:paraId="21A88875" w14:textId="74E73FD4" w:rsidR="00B4622A" w:rsidRPr="00251700" w:rsidRDefault="00B4622A" w:rsidP="00387528">
      <w:pPr>
        <w:spacing w:before="240"/>
        <w:ind w:firstLine="567"/>
      </w:pPr>
      <w:r w:rsidRPr="00251700">
        <w:t xml:space="preserve">Die entscheidungsrelevanten Unterlagen sind der Öffentlichkeit in der Landesdirektion Sachsen, </w:t>
      </w:r>
      <w:r w:rsidR="00D94D4D" w:rsidRPr="00251700">
        <w:t>Referat </w:t>
      </w:r>
      <w:r w:rsidR="00646636" w:rsidRPr="00251700">
        <w:t>32</w:t>
      </w:r>
      <w:r w:rsidRPr="00251700">
        <w:t xml:space="preserve">, </w:t>
      </w:r>
      <w:r w:rsidR="005B0681">
        <w:rPr>
          <w:rFonts w:cs="Arial"/>
          <w:szCs w:val="22"/>
        </w:rPr>
        <w:t>Olbrichtplatz 1</w:t>
      </w:r>
      <w:r w:rsidR="00860E94">
        <w:rPr>
          <w:rFonts w:cs="Arial"/>
          <w:szCs w:val="22"/>
        </w:rPr>
        <w:t>, 01099 Dresden</w:t>
      </w:r>
      <w:r w:rsidRPr="00251700">
        <w:rPr>
          <w:rFonts w:cs="Arial"/>
          <w:szCs w:val="22"/>
        </w:rPr>
        <w:t xml:space="preserve"> </w:t>
      </w:r>
      <w:r w:rsidRPr="00251700">
        <w:t>zugänglich.</w:t>
      </w:r>
    </w:p>
    <w:p w14:paraId="37395819" w14:textId="545B3369" w:rsidR="00962609" w:rsidRDefault="00962609" w:rsidP="00962609">
      <w:pPr>
        <w:spacing w:before="240"/>
        <w:ind w:firstLine="567"/>
        <w:rPr>
          <w:rFonts w:cs="Arial"/>
          <w:szCs w:val="22"/>
        </w:rPr>
      </w:pPr>
      <w:r>
        <w:rPr>
          <w:rFonts w:cs="Arial"/>
          <w:color w:val="000000"/>
        </w:rPr>
        <w:t xml:space="preserve">Die Bekanntgabe ist auf der Internetseite der Landesdirektion Sachsen unter https://www.lds.sachsen.de/bekanntmachung unter der Rubrik </w:t>
      </w:r>
      <w:r>
        <w:rPr>
          <w:rFonts w:cs="Arial"/>
        </w:rPr>
        <w:t xml:space="preserve">Infrastruktur - Straßenbahnen </w:t>
      </w:r>
      <w:r>
        <w:rPr>
          <w:rFonts w:cs="Arial"/>
          <w:color w:val="000000"/>
        </w:rPr>
        <w:t xml:space="preserve">sowie im UVP-Portal der Länder unter </w:t>
      </w:r>
      <w:hyperlink r:id="rId7" w:history="1">
        <w:r>
          <w:rPr>
            <w:rStyle w:val="Hyperlink"/>
            <w:rFonts w:cs="Arial"/>
          </w:rPr>
          <w:t>https://www.uvp-verbund.de</w:t>
        </w:r>
      </w:hyperlink>
      <w:r>
        <w:rPr>
          <w:rFonts w:cs="Arial"/>
        </w:rPr>
        <w:t xml:space="preserve"> </w:t>
      </w:r>
      <w:r>
        <w:rPr>
          <w:rFonts w:cs="Arial"/>
          <w:color w:val="000000"/>
        </w:rPr>
        <w:t>einsehbar.</w:t>
      </w:r>
    </w:p>
    <w:p w14:paraId="6C42FC81" w14:textId="77777777" w:rsidR="00B557A4" w:rsidRDefault="00B557A4" w:rsidP="00387528">
      <w:pPr>
        <w:autoSpaceDE w:val="0"/>
        <w:autoSpaceDN w:val="0"/>
        <w:adjustRightInd w:val="0"/>
      </w:pPr>
    </w:p>
    <w:p w14:paraId="48F31902" w14:textId="55C23D15" w:rsidR="00B4622A" w:rsidRDefault="00A521C4" w:rsidP="00387528">
      <w:pPr>
        <w:autoSpaceDE w:val="0"/>
        <w:autoSpaceDN w:val="0"/>
        <w:adjustRightInd w:val="0"/>
      </w:pPr>
      <w:r w:rsidRPr="00251700">
        <w:t>Dresden</w:t>
      </w:r>
      <w:r w:rsidR="00B4622A" w:rsidRPr="00251700">
        <w:t xml:space="preserve"> den</w:t>
      </w:r>
      <w:r w:rsidR="00105736">
        <w:t xml:space="preserve"> </w:t>
      </w:r>
      <w:r w:rsidR="003100B1">
        <w:t>1</w:t>
      </w:r>
      <w:r w:rsidR="00B217A0">
        <w:t>6</w:t>
      </w:r>
      <w:r w:rsidR="00105736">
        <w:t xml:space="preserve">. </w:t>
      </w:r>
      <w:r w:rsidR="003100B1">
        <w:t xml:space="preserve">Juli </w:t>
      </w:r>
      <w:r w:rsidRPr="00251700">
        <w:t>202</w:t>
      </w:r>
      <w:r w:rsidR="003100B1">
        <w:t>5</w:t>
      </w:r>
    </w:p>
    <w:p w14:paraId="27F979C7" w14:textId="28C181D0" w:rsidR="00B557A4" w:rsidRDefault="00B557A4" w:rsidP="00387528">
      <w:pPr>
        <w:autoSpaceDE w:val="0"/>
        <w:autoSpaceDN w:val="0"/>
        <w:adjustRightInd w:val="0"/>
      </w:pPr>
    </w:p>
    <w:p w14:paraId="229DDD15" w14:textId="77777777" w:rsidR="00B557A4" w:rsidRPr="00251700" w:rsidRDefault="00B557A4" w:rsidP="00387528">
      <w:pPr>
        <w:autoSpaceDE w:val="0"/>
        <w:autoSpaceDN w:val="0"/>
        <w:adjustRightInd w:val="0"/>
      </w:pPr>
    </w:p>
    <w:p w14:paraId="3113398B" w14:textId="77777777" w:rsidR="00B4622A" w:rsidRPr="00251700" w:rsidRDefault="00B4622A" w:rsidP="00A71434">
      <w:pPr>
        <w:spacing w:after="0"/>
        <w:jc w:val="center"/>
      </w:pPr>
      <w:r w:rsidRPr="00251700">
        <w:t>Landesdirektion Sachsen</w:t>
      </w:r>
    </w:p>
    <w:p w14:paraId="49935ED7" w14:textId="4F453C4B" w:rsidR="00646636" w:rsidRPr="00251700" w:rsidRDefault="00643C76" w:rsidP="00A71434">
      <w:pPr>
        <w:spacing w:after="0"/>
        <w:jc w:val="center"/>
      </w:pPr>
      <w:r>
        <w:t>Keune</w:t>
      </w:r>
    </w:p>
    <w:p w14:paraId="5D8D37F5" w14:textId="40F2F5E4" w:rsidR="000B255B" w:rsidRPr="00251700" w:rsidRDefault="00643C76" w:rsidP="00A71434">
      <w:pPr>
        <w:jc w:val="center"/>
      </w:pPr>
      <w:r>
        <w:t>Referatsleitung Planfeststellung</w:t>
      </w:r>
    </w:p>
    <w:sectPr w:rsidR="000B255B" w:rsidRPr="00251700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6185" w14:textId="77777777" w:rsidR="006C1C25" w:rsidRDefault="006C1C25" w:rsidP="007F5705">
      <w:pPr>
        <w:spacing w:after="0"/>
      </w:pPr>
      <w:r>
        <w:separator/>
      </w:r>
    </w:p>
  </w:endnote>
  <w:endnote w:type="continuationSeparator" w:id="0">
    <w:p w14:paraId="5D783560" w14:textId="77777777" w:rsidR="006C1C25" w:rsidRDefault="006C1C25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BB8FB" w14:textId="77777777" w:rsidR="006C1C25" w:rsidRDefault="006C1C25" w:rsidP="007F5705">
      <w:pPr>
        <w:spacing w:after="0"/>
      </w:pPr>
      <w:r>
        <w:separator/>
      </w:r>
    </w:p>
  </w:footnote>
  <w:footnote w:type="continuationSeparator" w:id="0">
    <w:p w14:paraId="10BAF59B" w14:textId="77777777" w:rsidR="006C1C25" w:rsidRDefault="006C1C25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D3E8052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665905"/>
    <w:multiLevelType w:val="hybridMultilevel"/>
    <w:tmpl w:val="D680703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07EB5"/>
    <w:multiLevelType w:val="hybridMultilevel"/>
    <w:tmpl w:val="4CC21562"/>
    <w:lvl w:ilvl="0" w:tplc="16C87A0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9002A0C"/>
    <w:multiLevelType w:val="hybridMultilevel"/>
    <w:tmpl w:val="7C58B17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1A49CE"/>
    <w:multiLevelType w:val="hybridMultilevel"/>
    <w:tmpl w:val="6A56E8BA"/>
    <w:lvl w:ilvl="0" w:tplc="16C87A0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21"/>
  </w:num>
  <w:num w:numId="17">
    <w:abstractNumId w:val="15"/>
  </w:num>
  <w:num w:numId="18">
    <w:abstractNumId w:val="11"/>
  </w:num>
  <w:num w:numId="19">
    <w:abstractNumId w:val="17"/>
  </w:num>
  <w:num w:numId="20">
    <w:abstractNumId w:val="18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6"/>
    <w:rsid w:val="00072205"/>
    <w:rsid w:val="00092420"/>
    <w:rsid w:val="000930C6"/>
    <w:rsid w:val="000B255B"/>
    <w:rsid w:val="000D724A"/>
    <w:rsid w:val="000E5DD3"/>
    <w:rsid w:val="00105736"/>
    <w:rsid w:val="0016204A"/>
    <w:rsid w:val="001B634D"/>
    <w:rsid w:val="001C5E41"/>
    <w:rsid w:val="002043AC"/>
    <w:rsid w:val="00213225"/>
    <w:rsid w:val="0022759B"/>
    <w:rsid w:val="00235CF8"/>
    <w:rsid w:val="00243788"/>
    <w:rsid w:val="00251700"/>
    <w:rsid w:val="002C1839"/>
    <w:rsid w:val="002F569A"/>
    <w:rsid w:val="003100B1"/>
    <w:rsid w:val="00317C54"/>
    <w:rsid w:val="00326CA9"/>
    <w:rsid w:val="00352BF4"/>
    <w:rsid w:val="0036431F"/>
    <w:rsid w:val="00387528"/>
    <w:rsid w:val="00396D90"/>
    <w:rsid w:val="00422359"/>
    <w:rsid w:val="004365E1"/>
    <w:rsid w:val="00482C21"/>
    <w:rsid w:val="00483E20"/>
    <w:rsid w:val="00487C2E"/>
    <w:rsid w:val="00490AF8"/>
    <w:rsid w:val="004A2E77"/>
    <w:rsid w:val="00543DB1"/>
    <w:rsid w:val="00563CFB"/>
    <w:rsid w:val="00585591"/>
    <w:rsid w:val="005B0681"/>
    <w:rsid w:val="005C2D4A"/>
    <w:rsid w:val="00643C76"/>
    <w:rsid w:val="00646636"/>
    <w:rsid w:val="00666677"/>
    <w:rsid w:val="006931F4"/>
    <w:rsid w:val="006B2A51"/>
    <w:rsid w:val="006C1C25"/>
    <w:rsid w:val="006F7FBD"/>
    <w:rsid w:val="00703A9B"/>
    <w:rsid w:val="00734CED"/>
    <w:rsid w:val="00751A65"/>
    <w:rsid w:val="00784393"/>
    <w:rsid w:val="007875B1"/>
    <w:rsid w:val="007E6F98"/>
    <w:rsid w:val="007F5705"/>
    <w:rsid w:val="008160AD"/>
    <w:rsid w:val="00816A31"/>
    <w:rsid w:val="008537C8"/>
    <w:rsid w:val="00860E94"/>
    <w:rsid w:val="00871061"/>
    <w:rsid w:val="008926B9"/>
    <w:rsid w:val="008A393E"/>
    <w:rsid w:val="008B299A"/>
    <w:rsid w:val="008B7342"/>
    <w:rsid w:val="008C56DD"/>
    <w:rsid w:val="008D6A2E"/>
    <w:rsid w:val="008E43F7"/>
    <w:rsid w:val="008E7086"/>
    <w:rsid w:val="008F6F9E"/>
    <w:rsid w:val="00922E7E"/>
    <w:rsid w:val="00962609"/>
    <w:rsid w:val="009A4D95"/>
    <w:rsid w:val="009B4900"/>
    <w:rsid w:val="009B7F43"/>
    <w:rsid w:val="00A012C6"/>
    <w:rsid w:val="00A37483"/>
    <w:rsid w:val="00A521C4"/>
    <w:rsid w:val="00A71434"/>
    <w:rsid w:val="00A828FC"/>
    <w:rsid w:val="00AA13C0"/>
    <w:rsid w:val="00AA5BC5"/>
    <w:rsid w:val="00AB3D39"/>
    <w:rsid w:val="00AB7F36"/>
    <w:rsid w:val="00AF2A3C"/>
    <w:rsid w:val="00B16137"/>
    <w:rsid w:val="00B217A0"/>
    <w:rsid w:val="00B4622A"/>
    <w:rsid w:val="00B531EC"/>
    <w:rsid w:val="00B557A4"/>
    <w:rsid w:val="00B95CDC"/>
    <w:rsid w:val="00BC1297"/>
    <w:rsid w:val="00BC1BE5"/>
    <w:rsid w:val="00BC3B58"/>
    <w:rsid w:val="00BF550A"/>
    <w:rsid w:val="00BF6586"/>
    <w:rsid w:val="00C70110"/>
    <w:rsid w:val="00C90A51"/>
    <w:rsid w:val="00C94DD7"/>
    <w:rsid w:val="00CC7F30"/>
    <w:rsid w:val="00CD69F6"/>
    <w:rsid w:val="00CE4B39"/>
    <w:rsid w:val="00CE54F8"/>
    <w:rsid w:val="00D059FB"/>
    <w:rsid w:val="00D7344A"/>
    <w:rsid w:val="00D752E9"/>
    <w:rsid w:val="00D85087"/>
    <w:rsid w:val="00D94D4D"/>
    <w:rsid w:val="00DE54FC"/>
    <w:rsid w:val="00E0620E"/>
    <w:rsid w:val="00E56BAD"/>
    <w:rsid w:val="00E6085B"/>
    <w:rsid w:val="00E65621"/>
    <w:rsid w:val="00E721DA"/>
    <w:rsid w:val="00E82380"/>
    <w:rsid w:val="00EA7C18"/>
    <w:rsid w:val="00ED6F40"/>
    <w:rsid w:val="00ED7B75"/>
    <w:rsid w:val="00EE4E1E"/>
    <w:rsid w:val="00EF2C0F"/>
    <w:rsid w:val="00EF5630"/>
    <w:rsid w:val="00F04A86"/>
    <w:rsid w:val="00F17FFA"/>
    <w:rsid w:val="00F60159"/>
    <w:rsid w:val="00FA4E18"/>
    <w:rsid w:val="00FB55F0"/>
    <w:rsid w:val="00FC4FE8"/>
    <w:rsid w:val="00FD6A29"/>
    <w:rsid w:val="00FF1823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468EF"/>
  <w15:docId w15:val="{BD5DFD7A-E91D-46FC-BCBC-9C99BAC9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p-verb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daten\32%20-%20AG%20Vereinheitlichung\UVP-VP\Muster%20abstrahiert\1.1.4.1%20-%20UVP-VP%20Bekanntgabe%20keine%20UVP-Pflicht_23.01.2018%20R%204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1.1.4.1 - UVP-VP Bekanntgabe keine UVP-Pflicht_23.01.2018 R 46.dotx</Template>
  <TotalTime>0</TotalTime>
  <Pages>3</Pages>
  <Words>740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claus-peter.susok</dc:creator>
  <cp:lastModifiedBy>Uhlmann, Michaela - LDS</cp:lastModifiedBy>
  <cp:revision>2</cp:revision>
  <dcterms:created xsi:type="dcterms:W3CDTF">2025-07-17T12:22:00Z</dcterms:created>
  <dcterms:modified xsi:type="dcterms:W3CDTF">2025-07-17T12:22:00Z</dcterms:modified>
</cp:coreProperties>
</file>