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60" w:rsidRDefault="007D2363" w:rsidP="007D23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Bekanntmachung</w:t>
      </w:r>
    </w:p>
    <w:p w:rsidR="007D2363" w:rsidRDefault="007D2363" w:rsidP="006559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Planfeststellung für das Bauvorhaben</w:t>
      </w:r>
    </w:p>
    <w:p w:rsidR="007D2363" w:rsidRDefault="007D2363" w:rsidP="007D23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„S 177 – Verlegung südlich Großerkmannsdorf“</w:t>
      </w:r>
    </w:p>
    <w:p w:rsidR="007D2363" w:rsidRDefault="007D2363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Landesamt für Straßenbau und Verkehr, Nie</w:t>
      </w:r>
      <w:r w:rsidR="000524E8">
        <w:rPr>
          <w:rFonts w:ascii="Arial" w:hAnsi="Arial" w:cs="Arial"/>
        </w:rPr>
        <w:t>derlassung Meißen hat für das oben</w:t>
      </w:r>
      <w:r>
        <w:rPr>
          <w:rFonts w:ascii="Arial" w:hAnsi="Arial" w:cs="Arial"/>
        </w:rPr>
        <w:t xml:space="preserve"> </w:t>
      </w:r>
      <w:r w:rsidR="000524E8">
        <w:rPr>
          <w:rFonts w:ascii="Arial" w:hAnsi="Arial" w:cs="Arial"/>
        </w:rPr>
        <w:t>g</w:t>
      </w:r>
      <w:r w:rsidR="000524E8">
        <w:rPr>
          <w:rFonts w:ascii="Arial" w:hAnsi="Arial" w:cs="Arial"/>
        </w:rPr>
        <w:t>e</w:t>
      </w:r>
      <w:r w:rsidR="000524E8">
        <w:rPr>
          <w:rFonts w:ascii="Arial" w:hAnsi="Arial" w:cs="Arial"/>
        </w:rPr>
        <w:t>nannte</w:t>
      </w:r>
      <w:r>
        <w:rPr>
          <w:rFonts w:ascii="Arial" w:hAnsi="Arial" w:cs="Arial"/>
        </w:rPr>
        <w:t xml:space="preserve"> Bauvorhaben die Durchführung des Planfeststellungsverfahrens beantragt.</w:t>
      </w:r>
    </w:p>
    <w:p w:rsidR="007D2363" w:rsidRDefault="007D2363" w:rsidP="003764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Bauvorhaben einschließlich der landschaftspflegerischen Ausgleichs- und Ersat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maßnahmen werden Grundstücke in der:</w:t>
      </w:r>
    </w:p>
    <w:p w:rsidR="007D2363" w:rsidRDefault="007D2363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Landeshauptstadt Dresden, Gemarkungen </w:t>
      </w:r>
      <w:proofErr w:type="spellStart"/>
      <w:r>
        <w:rPr>
          <w:rFonts w:ascii="Arial" w:hAnsi="Arial" w:cs="Arial"/>
        </w:rPr>
        <w:t>Schullwitz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Weißig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Langebrück</w:t>
      </w:r>
      <w:proofErr w:type="spellEnd"/>
      <w:r w:rsidR="00D57301">
        <w:rPr>
          <w:rFonts w:ascii="Arial" w:hAnsi="Arial" w:cs="Arial"/>
        </w:rPr>
        <w:t>;</w:t>
      </w:r>
    </w:p>
    <w:p w:rsidR="007D2363" w:rsidRDefault="007D2363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Stadt Radeberg, Gemarkungen </w:t>
      </w:r>
      <w:proofErr w:type="spellStart"/>
      <w:r>
        <w:rPr>
          <w:rFonts w:ascii="Arial" w:hAnsi="Arial" w:cs="Arial"/>
        </w:rPr>
        <w:t>Großerkmannsdorf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Liegau</w:t>
      </w:r>
      <w:proofErr w:type="spellEnd"/>
      <w:r>
        <w:rPr>
          <w:rFonts w:ascii="Arial" w:hAnsi="Arial" w:cs="Arial"/>
        </w:rPr>
        <w:t xml:space="preserve">-Augustusbad, </w:t>
      </w:r>
      <w:proofErr w:type="spellStart"/>
      <w:r>
        <w:rPr>
          <w:rFonts w:ascii="Arial" w:hAnsi="Arial" w:cs="Arial"/>
        </w:rPr>
        <w:t>Kleinerk</w:t>
      </w:r>
      <w:proofErr w:type="spellEnd"/>
      <w:r w:rsidR="008F4721">
        <w:rPr>
          <w:rFonts w:ascii="Arial" w:hAnsi="Arial" w:cs="Arial"/>
        </w:rPr>
        <w:t>-</w:t>
      </w:r>
      <w:r w:rsidR="008F472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mannsdorf</w:t>
      </w:r>
      <w:proofErr w:type="spellEnd"/>
      <w:r w:rsidR="00D57301">
        <w:rPr>
          <w:rFonts w:ascii="Arial" w:hAnsi="Arial" w:cs="Arial"/>
        </w:rPr>
        <w:t>;</w:t>
      </w:r>
    </w:p>
    <w:p w:rsidR="007D2363" w:rsidRDefault="007D2363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Gemeinde Arnsdorf, Gemarkung Kleinwolmsdorf</w:t>
      </w:r>
      <w:r w:rsidR="00D57301">
        <w:rPr>
          <w:rFonts w:ascii="Arial" w:hAnsi="Arial" w:cs="Arial"/>
        </w:rPr>
        <w:t>;</w:t>
      </w:r>
    </w:p>
    <w:p w:rsidR="007D2363" w:rsidRDefault="007D2363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Stadt Bischofswerda, Gemarkung </w:t>
      </w:r>
      <w:proofErr w:type="spellStart"/>
      <w:r>
        <w:rPr>
          <w:rFonts w:ascii="Arial" w:hAnsi="Arial" w:cs="Arial"/>
        </w:rPr>
        <w:t>Großdrebnitz</w:t>
      </w:r>
      <w:proofErr w:type="spellEnd"/>
      <w:r w:rsidR="00D57301">
        <w:rPr>
          <w:rFonts w:ascii="Arial" w:hAnsi="Arial" w:cs="Arial"/>
        </w:rPr>
        <w:t>;</w:t>
      </w:r>
    </w:p>
    <w:p w:rsidR="00376440" w:rsidRDefault="007D2363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Stadt Neustadt in Sachsen, Gemarkung </w:t>
      </w:r>
      <w:proofErr w:type="spellStart"/>
      <w:r>
        <w:rPr>
          <w:rFonts w:ascii="Arial" w:hAnsi="Arial" w:cs="Arial"/>
        </w:rPr>
        <w:t>Rückersdorf</w:t>
      </w:r>
      <w:proofErr w:type="spellEnd"/>
    </w:p>
    <w:p w:rsidR="00376440" w:rsidRDefault="00376440" w:rsidP="00D57301">
      <w:pPr>
        <w:tabs>
          <w:tab w:val="left" w:pos="28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beansprucht.</w:t>
      </w:r>
    </w:p>
    <w:p w:rsidR="00D57301" w:rsidRDefault="00D57301" w:rsidP="00D57301">
      <w:pPr>
        <w:tabs>
          <w:tab w:val="left" w:pos="284"/>
        </w:tabs>
        <w:spacing w:after="0"/>
        <w:rPr>
          <w:rFonts w:ascii="Arial" w:hAnsi="Arial" w:cs="Arial"/>
        </w:rPr>
      </w:pPr>
    </w:p>
    <w:p w:rsidR="00B67F8E" w:rsidRDefault="00B67F8E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Vorhaben besteht eine Verpflichtung zur Durchführung einer Umweltverträglichkeit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prüfung gemäß § 5 des Gesetzes über die Umweltverträglichkeitsprüfung (</w:t>
      </w:r>
      <w:r w:rsidR="000524E8">
        <w:rPr>
          <w:rFonts w:ascii="Arial" w:hAnsi="Arial" w:cs="Arial"/>
        </w:rPr>
        <w:t>UVPG) in Verbi</w:t>
      </w:r>
      <w:r w:rsidR="000524E8">
        <w:rPr>
          <w:rFonts w:ascii="Arial" w:hAnsi="Arial" w:cs="Arial"/>
        </w:rPr>
        <w:t>n</w:t>
      </w:r>
      <w:r w:rsidR="000524E8">
        <w:rPr>
          <w:rFonts w:ascii="Arial" w:hAnsi="Arial" w:cs="Arial"/>
        </w:rPr>
        <w:t xml:space="preserve">dung mit § </w:t>
      </w:r>
      <w:r w:rsidR="00C93F5A">
        <w:rPr>
          <w:rFonts w:ascii="Arial" w:hAnsi="Arial" w:cs="Arial"/>
        </w:rPr>
        <w:t>3 Absatz 1 Nummer 2, Anlage 1 N</w:t>
      </w:r>
      <w:r w:rsidR="000524E8">
        <w:rPr>
          <w:rFonts w:ascii="Arial" w:hAnsi="Arial" w:cs="Arial"/>
        </w:rPr>
        <w:t>ummer</w:t>
      </w:r>
      <w:r>
        <w:rPr>
          <w:rFonts w:ascii="Arial" w:hAnsi="Arial" w:cs="Arial"/>
        </w:rPr>
        <w:t xml:space="preserve"> 2a des Gesetzes über die Umweltve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träglichkeitsprüfung im Freistaat Sachsen (SächsUVPG).</w:t>
      </w:r>
    </w:p>
    <w:p w:rsidR="00B67F8E" w:rsidRDefault="00B67F8E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Vorhabenträger hat die entscheidungsrelevanten Unterlagen über die Umweltauswi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kungen des Vorhabens vorgelegt, die Bestandteil der nachfolgend aufgeführten Auslegung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unterlagen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582"/>
        <w:gridCol w:w="2995"/>
      </w:tblGrid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  <w:b/>
              </w:rPr>
            </w:pPr>
            <w:r w:rsidRPr="00D4472D">
              <w:rPr>
                <w:rFonts w:ascii="Arial" w:hAnsi="Arial" w:cs="Arial"/>
                <w:b/>
              </w:rPr>
              <w:t>Unterlage – Nr.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  <w:b/>
              </w:rPr>
            </w:pPr>
            <w:r w:rsidRPr="00D4472D">
              <w:rPr>
                <w:rFonts w:ascii="Arial" w:hAnsi="Arial" w:cs="Arial"/>
                <w:b/>
              </w:rPr>
              <w:t>Bezeichnung der Unterlage</w:t>
            </w:r>
          </w:p>
        </w:tc>
        <w:tc>
          <w:tcPr>
            <w:tcW w:w="2995" w:type="dxa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Erläuterungsbericht</w:t>
            </w:r>
          </w:p>
          <w:p w:rsidR="001D054C" w:rsidRDefault="001D054C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1 – UVP-Bericht</w:t>
            </w:r>
          </w:p>
          <w:p w:rsidR="001D054C" w:rsidRPr="00D4472D" w:rsidRDefault="001D054C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2 – Allgemeinverständliche Zusa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menfassung gemäß § 16 UVPG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1D054C" w:rsidRDefault="00D4491A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1D054C">
              <w:rPr>
                <w:rFonts w:ascii="Arial" w:hAnsi="Arial" w:cs="Arial"/>
              </w:rPr>
              <w:t>. </w:t>
            </w:r>
            <w:r>
              <w:rPr>
                <w:rFonts w:ascii="Arial" w:hAnsi="Arial" w:cs="Arial"/>
              </w:rPr>
              <w:t>November 2018</w:t>
            </w:r>
          </w:p>
          <w:p w:rsidR="001D054C" w:rsidRPr="00D4472D" w:rsidRDefault="001D054C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2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Übersichtskarte</w:t>
            </w:r>
          </w:p>
        </w:tc>
        <w:tc>
          <w:tcPr>
            <w:tcW w:w="2995" w:type="dxa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3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Übersichtslagepläne</w:t>
            </w:r>
          </w:p>
        </w:tc>
        <w:tc>
          <w:tcPr>
            <w:tcW w:w="2995" w:type="dxa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4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Übersichtshöhenplan</w:t>
            </w:r>
          </w:p>
        </w:tc>
        <w:tc>
          <w:tcPr>
            <w:tcW w:w="2995" w:type="dxa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5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Lagepläne</w:t>
            </w:r>
          </w:p>
        </w:tc>
        <w:tc>
          <w:tcPr>
            <w:tcW w:w="2995" w:type="dxa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6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Höhenpläne</w:t>
            </w:r>
          </w:p>
        </w:tc>
        <w:tc>
          <w:tcPr>
            <w:tcW w:w="2995" w:type="dxa"/>
          </w:tcPr>
          <w:p w:rsidR="00491BF1" w:rsidRPr="00D4472D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7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Lageplan der Lärmschutzmaßnahmen</w:t>
            </w:r>
          </w:p>
        </w:tc>
        <w:tc>
          <w:tcPr>
            <w:tcW w:w="2995" w:type="dxa"/>
          </w:tcPr>
          <w:p w:rsidR="00491BF1" w:rsidRPr="00D4472D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8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Lageplan der Entwässerungsmaßnahmen</w:t>
            </w:r>
          </w:p>
        </w:tc>
        <w:tc>
          <w:tcPr>
            <w:tcW w:w="2995" w:type="dxa"/>
          </w:tcPr>
          <w:p w:rsidR="00491BF1" w:rsidRPr="00D4472D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9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  <w:p w:rsidR="006C2731" w:rsidRPr="00D4472D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4582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Landschaftspflegerische Maßnahmen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Maßnahmenübersichtsplan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Maßnahmenpläne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Maßnahmenblätter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Vergleichende Gegenüberstellung </w:t>
            </w:r>
          </w:p>
          <w:p w:rsidR="006C2731" w:rsidRPr="00D4472D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Eingriff-Kompensation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6C2731" w:rsidRDefault="003824C9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 November 2018</w:t>
            </w:r>
          </w:p>
          <w:p w:rsidR="006C2731" w:rsidRPr="00D4472D" w:rsidRDefault="003824C9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 November 2018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10</w:t>
            </w:r>
          </w:p>
          <w:p w:rsidR="006C2731" w:rsidRDefault="006C2731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  <w:p w:rsidR="00486F74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Grunderwerb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Grunderwerbspläne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Grunderwerbsverzeichnis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</w:p>
          <w:p w:rsidR="006C2731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Mai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11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Regelungsverzeichnis</w:t>
            </w:r>
          </w:p>
        </w:tc>
        <w:tc>
          <w:tcPr>
            <w:tcW w:w="2995" w:type="dxa"/>
          </w:tcPr>
          <w:p w:rsidR="00491BF1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 Mai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Widmung, Umstufung, Einziehung</w:t>
            </w:r>
          </w:p>
        </w:tc>
        <w:tc>
          <w:tcPr>
            <w:tcW w:w="2995" w:type="dxa"/>
          </w:tcPr>
          <w:p w:rsidR="00491BF1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14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Straßenquerschnitte</w:t>
            </w:r>
          </w:p>
        </w:tc>
        <w:tc>
          <w:tcPr>
            <w:tcW w:w="2995" w:type="dxa"/>
          </w:tcPr>
          <w:p w:rsidR="00491BF1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16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  <w:p w:rsidR="00486F74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 xml:space="preserve">Sonstige Pläne und Unterlagen 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Leitungspläne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Lageplan Verbots- und Beschränkungszone</w:t>
            </w:r>
          </w:p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Lagepläne Baustraße B 6</w:t>
            </w:r>
          </w:p>
          <w:p w:rsidR="00B00068" w:rsidRPr="00D4472D" w:rsidRDefault="00B00068" w:rsidP="00D4472D">
            <w:pPr>
              <w:spacing w:after="0"/>
              <w:rPr>
                <w:rFonts w:ascii="Arial" w:hAnsi="Arial" w:cs="Arial"/>
              </w:rPr>
            </w:pP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Übersichtslageplan Wirtschaftswege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Schleppkurvendarstellung mit Sichtweiten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Grundstückszufahrten Nachweis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Pr="00D4472D" w:rsidRDefault="003824C9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August 2018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17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Immissionstechnische Untersuchungen</w:t>
            </w:r>
          </w:p>
        </w:tc>
        <w:tc>
          <w:tcPr>
            <w:tcW w:w="2995" w:type="dxa"/>
          </w:tcPr>
          <w:p w:rsidR="003824C9" w:rsidRDefault="003824C9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Dezember 2018/</w:t>
            </w:r>
          </w:p>
          <w:p w:rsidR="00491BF1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18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</w:p>
          <w:p w:rsidR="00486F74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4582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Wassertechnische Untersuchungen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Erläuterungen und Berechnungen zur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kehrsanlage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 wasserrechtliche Gestattung Offe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legung Seifenbach</w:t>
            </w:r>
          </w:p>
          <w:p w:rsidR="00486F74" w:rsidRPr="00D4472D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Fachbeitrag Wasserrahmenrichtlinie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November 2018/</w:t>
            </w:r>
          </w:p>
          <w:p w:rsidR="00486F74" w:rsidRDefault="00486F74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86F74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November 2018/</w:t>
            </w:r>
          </w:p>
          <w:p w:rsidR="00497A0D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19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</w:p>
          <w:p w:rsidR="00497A0D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 xml:space="preserve">Umweltfachliche Untersuchungen 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Landschaftspflegerischer Begleitplan</w:t>
            </w: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Bestands- und Konfliktplan</w:t>
            </w:r>
          </w:p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Artenschutzfachbeitrag</w:t>
            </w:r>
          </w:p>
          <w:p w:rsidR="00497A0D" w:rsidRPr="00D4472D" w:rsidRDefault="00497A0D" w:rsidP="00D4472D">
            <w:pPr>
              <w:spacing w:after="0"/>
              <w:rPr>
                <w:rFonts w:ascii="Arial" w:hAnsi="Arial" w:cs="Arial"/>
              </w:rPr>
            </w:pPr>
          </w:p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Faunistische Sondergutachten</w:t>
            </w:r>
          </w:p>
        </w:tc>
        <w:tc>
          <w:tcPr>
            <w:tcW w:w="2995" w:type="dxa"/>
          </w:tcPr>
          <w:p w:rsidR="00491BF1" w:rsidRDefault="00491BF1" w:rsidP="00D4472D">
            <w:pPr>
              <w:spacing w:after="0"/>
              <w:rPr>
                <w:rFonts w:ascii="Arial" w:hAnsi="Arial" w:cs="Arial"/>
              </w:rPr>
            </w:pP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November 2018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November 2018/</w:t>
            </w:r>
          </w:p>
          <w:p w:rsidR="00497A0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März 2019</w:t>
            </w:r>
          </w:p>
          <w:p w:rsidR="00497A0D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März 201</w:t>
            </w:r>
            <w:r w:rsidR="00EB6AA0">
              <w:rPr>
                <w:rFonts w:ascii="Arial" w:hAnsi="Arial" w:cs="Arial"/>
              </w:rPr>
              <w:t>5/27. August 2014/31. August 2018/Mai 2014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20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Geotechnische Untersuchungen</w:t>
            </w:r>
          </w:p>
        </w:tc>
        <w:tc>
          <w:tcPr>
            <w:tcW w:w="2995" w:type="dxa"/>
          </w:tcPr>
          <w:p w:rsidR="00491BF1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Februar 2015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21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Sonstige Gutachten</w:t>
            </w:r>
          </w:p>
        </w:tc>
        <w:tc>
          <w:tcPr>
            <w:tcW w:w="2995" w:type="dxa"/>
          </w:tcPr>
          <w:p w:rsidR="00491BF1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Dezember 2014</w:t>
            </w:r>
          </w:p>
        </w:tc>
      </w:tr>
      <w:tr w:rsidR="00491BF1" w:rsidRPr="00D4472D" w:rsidTr="00491BF1">
        <w:tc>
          <w:tcPr>
            <w:tcW w:w="1711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22</w:t>
            </w:r>
          </w:p>
        </w:tc>
        <w:tc>
          <w:tcPr>
            <w:tcW w:w="4582" w:type="dxa"/>
            <w:shd w:val="clear" w:color="auto" w:fill="auto"/>
          </w:tcPr>
          <w:p w:rsidR="00491BF1" w:rsidRPr="00D4472D" w:rsidRDefault="00491BF1" w:rsidP="00D4472D">
            <w:pPr>
              <w:spacing w:after="0"/>
              <w:rPr>
                <w:rFonts w:ascii="Arial" w:hAnsi="Arial" w:cs="Arial"/>
              </w:rPr>
            </w:pPr>
            <w:r w:rsidRPr="00D4472D">
              <w:rPr>
                <w:rFonts w:ascii="Arial" w:hAnsi="Arial" w:cs="Arial"/>
              </w:rPr>
              <w:t>Verkehrsqualität</w:t>
            </w:r>
          </w:p>
        </w:tc>
        <w:tc>
          <w:tcPr>
            <w:tcW w:w="2995" w:type="dxa"/>
          </w:tcPr>
          <w:p w:rsidR="00491BF1" w:rsidRPr="00D4472D" w:rsidRDefault="00497A0D" w:rsidP="00D4472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Februar 2018</w:t>
            </w:r>
          </w:p>
        </w:tc>
      </w:tr>
    </w:tbl>
    <w:p w:rsidR="000D5E9F" w:rsidRDefault="000D5E9F" w:rsidP="008F4721">
      <w:pPr>
        <w:spacing w:after="0"/>
        <w:rPr>
          <w:rFonts w:ascii="Arial" w:hAnsi="Arial" w:cs="Arial"/>
        </w:rPr>
      </w:pPr>
    </w:p>
    <w:p w:rsidR="00B67F8E" w:rsidRDefault="00B67F8E" w:rsidP="007D2363">
      <w:pPr>
        <w:rPr>
          <w:rFonts w:ascii="Arial" w:hAnsi="Arial" w:cs="Arial"/>
        </w:rPr>
      </w:pPr>
      <w:r>
        <w:rPr>
          <w:rFonts w:ascii="Arial" w:hAnsi="Arial" w:cs="Arial"/>
        </w:rPr>
        <w:t>Der Plan (Zeichnungen und Er</w:t>
      </w:r>
      <w:r w:rsidR="00D57301">
        <w:rPr>
          <w:rFonts w:ascii="Arial" w:hAnsi="Arial" w:cs="Arial"/>
        </w:rPr>
        <w:t>läuterungen) liegt in der Zeit v</w:t>
      </w:r>
      <w:r>
        <w:rPr>
          <w:rFonts w:ascii="Arial" w:hAnsi="Arial" w:cs="Arial"/>
        </w:rPr>
        <w:t xml:space="preserve">om </w:t>
      </w:r>
      <w:r w:rsidR="00D57301" w:rsidRPr="00D57301">
        <w:rPr>
          <w:rFonts w:ascii="Arial" w:hAnsi="Arial" w:cs="Arial"/>
          <w:b/>
        </w:rPr>
        <w:t xml:space="preserve">5. September 2019 </w:t>
      </w:r>
      <w:r w:rsidRPr="00D57301">
        <w:rPr>
          <w:rFonts w:ascii="Arial" w:hAnsi="Arial" w:cs="Arial"/>
          <w:b/>
        </w:rPr>
        <w:t xml:space="preserve">bis </w:t>
      </w:r>
      <w:r w:rsidR="00D57301">
        <w:rPr>
          <w:rFonts w:ascii="Arial" w:hAnsi="Arial" w:cs="Arial"/>
          <w:b/>
        </w:rPr>
        <w:t xml:space="preserve">      </w:t>
      </w:r>
      <w:r w:rsidR="00D57301" w:rsidRPr="00D57301">
        <w:rPr>
          <w:rFonts w:ascii="Arial" w:hAnsi="Arial" w:cs="Arial"/>
          <w:b/>
        </w:rPr>
        <w:t>4. Oktober 2019</w:t>
      </w:r>
    </w:p>
    <w:p w:rsidR="00B67F8E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67F8E">
        <w:rPr>
          <w:rFonts w:ascii="Arial" w:hAnsi="Arial" w:cs="Arial"/>
        </w:rPr>
        <w:t xml:space="preserve">n der Landeshauptstadt Dresden, </w:t>
      </w:r>
      <w:r w:rsidR="007C63C1">
        <w:rPr>
          <w:rFonts w:ascii="Arial" w:hAnsi="Arial" w:cs="Arial"/>
        </w:rPr>
        <w:t>Geschäftsbereich Stadtentwicklung, Bau, Verkehr und Liegenschaften, Stadtplanungsamt, Abteilung Verkehrsentwicklungsplanung, Freiberger Straße 39</w:t>
      </w:r>
      <w:r w:rsidR="004619BE">
        <w:rPr>
          <w:rFonts w:ascii="Arial" w:hAnsi="Arial" w:cs="Arial"/>
        </w:rPr>
        <w:t xml:space="preserve">, </w:t>
      </w:r>
      <w:r w:rsidR="007C63C1">
        <w:rPr>
          <w:rFonts w:ascii="Arial" w:hAnsi="Arial" w:cs="Arial"/>
        </w:rPr>
        <w:t xml:space="preserve">01067 </w:t>
      </w:r>
      <w:r w:rsidR="004619BE">
        <w:rPr>
          <w:rFonts w:ascii="Arial" w:hAnsi="Arial" w:cs="Arial"/>
        </w:rPr>
        <w:t>Dresden</w:t>
      </w:r>
      <w:r w:rsidR="007C63C1">
        <w:rPr>
          <w:rFonts w:ascii="Arial" w:hAnsi="Arial" w:cs="Arial"/>
        </w:rPr>
        <w:t>, 3. Etage, Raum 3350 sowie</w:t>
      </w:r>
      <w:r w:rsidR="00376440">
        <w:rPr>
          <w:rFonts w:ascii="Arial" w:hAnsi="Arial" w:cs="Arial"/>
        </w:rPr>
        <w:t>,</w:t>
      </w:r>
    </w:p>
    <w:p w:rsidR="007C63C1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619BE">
        <w:rPr>
          <w:rFonts w:ascii="Arial" w:hAnsi="Arial" w:cs="Arial"/>
        </w:rPr>
        <w:t xml:space="preserve">n der </w:t>
      </w:r>
      <w:r w:rsidR="007C63C1">
        <w:rPr>
          <w:rFonts w:ascii="Arial" w:hAnsi="Arial" w:cs="Arial"/>
        </w:rPr>
        <w:t>Örtlichen Verwaltungsstelle</w:t>
      </w:r>
      <w:r w:rsidR="004619BE">
        <w:rPr>
          <w:rFonts w:ascii="Arial" w:hAnsi="Arial" w:cs="Arial"/>
        </w:rPr>
        <w:t xml:space="preserve"> Schönfeld-</w:t>
      </w:r>
      <w:proofErr w:type="spellStart"/>
      <w:r w:rsidR="004619BE">
        <w:rPr>
          <w:rFonts w:ascii="Arial" w:hAnsi="Arial" w:cs="Arial"/>
        </w:rPr>
        <w:t>Weißig</w:t>
      </w:r>
      <w:proofErr w:type="spellEnd"/>
      <w:r w:rsidR="004619BE">
        <w:rPr>
          <w:rFonts w:ascii="Arial" w:hAnsi="Arial" w:cs="Arial"/>
        </w:rPr>
        <w:t xml:space="preserve">, </w:t>
      </w:r>
      <w:proofErr w:type="spellStart"/>
      <w:r w:rsidR="004619BE">
        <w:rPr>
          <w:rFonts w:ascii="Arial" w:hAnsi="Arial" w:cs="Arial"/>
        </w:rPr>
        <w:t>Bautzner</w:t>
      </w:r>
      <w:proofErr w:type="spellEnd"/>
      <w:r w:rsidR="004619BE">
        <w:rPr>
          <w:rFonts w:ascii="Arial" w:hAnsi="Arial" w:cs="Arial"/>
        </w:rPr>
        <w:t xml:space="preserve"> Landstraße </w:t>
      </w:r>
      <w:r w:rsidR="000524E8">
        <w:rPr>
          <w:rFonts w:ascii="Arial" w:hAnsi="Arial" w:cs="Arial"/>
        </w:rPr>
        <w:t>291, 01328 Dre</w:t>
      </w:r>
      <w:r w:rsidR="000524E8">
        <w:rPr>
          <w:rFonts w:ascii="Arial" w:hAnsi="Arial" w:cs="Arial"/>
        </w:rPr>
        <w:t>s</w:t>
      </w:r>
      <w:r w:rsidR="000524E8">
        <w:rPr>
          <w:rFonts w:ascii="Arial" w:hAnsi="Arial" w:cs="Arial"/>
        </w:rPr>
        <w:t>den</w:t>
      </w:r>
      <w:r w:rsidR="007C63C1">
        <w:rPr>
          <w:rFonts w:ascii="Arial" w:hAnsi="Arial" w:cs="Arial"/>
        </w:rPr>
        <w:t xml:space="preserve">, Ortsteil </w:t>
      </w:r>
      <w:proofErr w:type="spellStart"/>
      <w:r w:rsidR="007C63C1">
        <w:rPr>
          <w:rFonts w:ascii="Arial" w:hAnsi="Arial" w:cs="Arial"/>
        </w:rPr>
        <w:t>Weißig</w:t>
      </w:r>
      <w:proofErr w:type="spellEnd"/>
      <w:r w:rsidR="007C63C1">
        <w:rPr>
          <w:rFonts w:ascii="Arial" w:hAnsi="Arial" w:cs="Arial"/>
        </w:rPr>
        <w:t>, 2. Etage, Zimmer 221</w:t>
      </w:r>
    </w:p>
    <w:p w:rsidR="007C63C1" w:rsidRDefault="000524E8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während der Dienststunden</w:t>
      </w:r>
      <w:r w:rsidR="00E43FBA">
        <w:rPr>
          <w:rFonts w:ascii="Arial" w:hAnsi="Arial" w:cs="Arial"/>
        </w:rPr>
        <w:t>:</w:t>
      </w:r>
    </w:p>
    <w:p w:rsidR="007C63C1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Montag, Mittwoch, Freitag: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>9:00 Uhr - 12:00 Uhr</w:t>
      </w:r>
    </w:p>
    <w:p w:rsidR="004619BE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Dienstag, Donnerstag: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09:00 Uhr </w:t>
      </w:r>
      <w:r w:rsidR="00E43FB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18:00 Uhr</w:t>
      </w:r>
    </w:p>
    <w:p w:rsidR="00A13D40" w:rsidRDefault="00A13D40" w:rsidP="00E43FBA">
      <w:pPr>
        <w:spacing w:after="0"/>
        <w:jc w:val="both"/>
        <w:rPr>
          <w:rFonts w:ascii="Arial" w:hAnsi="Arial" w:cs="Arial"/>
        </w:rPr>
      </w:pPr>
    </w:p>
    <w:p w:rsidR="00E43FBA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4E8">
        <w:rPr>
          <w:rFonts w:ascii="Arial" w:hAnsi="Arial" w:cs="Arial"/>
        </w:rPr>
        <w:t xml:space="preserve">n der Stadtverwaltung Radeberg, </w:t>
      </w:r>
      <w:r w:rsidR="00E43FBA">
        <w:rPr>
          <w:rFonts w:ascii="Arial" w:hAnsi="Arial" w:cs="Arial"/>
        </w:rPr>
        <w:t xml:space="preserve">Bürgerbüro, </w:t>
      </w:r>
      <w:r w:rsidR="000524E8">
        <w:rPr>
          <w:rFonts w:ascii="Arial" w:hAnsi="Arial" w:cs="Arial"/>
        </w:rPr>
        <w:t>Markt 1</w:t>
      </w:r>
      <w:r w:rsidR="00E43FBA">
        <w:rPr>
          <w:rFonts w:ascii="Arial" w:hAnsi="Arial" w:cs="Arial"/>
        </w:rPr>
        <w:t>8</w:t>
      </w:r>
      <w:r w:rsidR="000524E8">
        <w:rPr>
          <w:rFonts w:ascii="Arial" w:hAnsi="Arial" w:cs="Arial"/>
        </w:rPr>
        <w:t>, 01454 Radeberg während der Dienststu</w:t>
      </w:r>
      <w:r>
        <w:rPr>
          <w:rFonts w:ascii="Arial" w:hAnsi="Arial" w:cs="Arial"/>
        </w:rPr>
        <w:t>n</w:t>
      </w:r>
      <w:r w:rsidR="000524E8">
        <w:rPr>
          <w:rFonts w:ascii="Arial" w:hAnsi="Arial" w:cs="Arial"/>
        </w:rPr>
        <w:t>den</w:t>
      </w:r>
      <w:r w:rsidR="00E43FBA">
        <w:rPr>
          <w:rFonts w:ascii="Arial" w:hAnsi="Arial" w:cs="Arial"/>
        </w:rPr>
        <w:t>:</w:t>
      </w:r>
    </w:p>
    <w:p w:rsidR="00E43FBA" w:rsidRDefault="00E43FBA" w:rsidP="001C6516">
      <w:pPr>
        <w:spacing w:after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Montag, Mittwoch: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08:30 Uhr - 11:15 Uhr und 12:00 Uhr - 16:00 Uhr</w:t>
      </w:r>
    </w:p>
    <w:bookmarkEnd w:id="0"/>
    <w:p w:rsidR="00E43FBA" w:rsidRDefault="00E43FBA" w:rsidP="001C65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Dienstag, Donnerstag: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08:30 Uhr - 11:15 Uhr und 12:00 Uhr - 18:00 Uhr</w:t>
      </w:r>
    </w:p>
    <w:p w:rsidR="000524E8" w:rsidRDefault="00E43FBA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Freitag: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08:30 Uhr - 14:00 Uhr</w:t>
      </w:r>
    </w:p>
    <w:p w:rsidR="00622CA3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4E8">
        <w:rPr>
          <w:rFonts w:ascii="Arial" w:hAnsi="Arial" w:cs="Arial"/>
        </w:rPr>
        <w:t xml:space="preserve">n der Gemeindeverwaltung </w:t>
      </w:r>
      <w:proofErr w:type="spellStart"/>
      <w:r w:rsidR="000524E8">
        <w:rPr>
          <w:rFonts w:ascii="Arial" w:hAnsi="Arial" w:cs="Arial"/>
        </w:rPr>
        <w:t>Arnsdorf</w:t>
      </w:r>
      <w:proofErr w:type="spellEnd"/>
      <w:r w:rsidR="000524E8">
        <w:rPr>
          <w:rFonts w:ascii="Arial" w:hAnsi="Arial" w:cs="Arial"/>
        </w:rPr>
        <w:t>, Bahnhofstraße 15</w:t>
      </w:r>
      <w:r w:rsidR="00622CA3">
        <w:rPr>
          <w:rFonts w:ascii="Arial" w:hAnsi="Arial" w:cs="Arial"/>
        </w:rPr>
        <w:t xml:space="preserve"> (Beratungsraum),</w:t>
      </w:r>
      <w:r w:rsidR="000524E8">
        <w:rPr>
          <w:rFonts w:ascii="Arial" w:hAnsi="Arial" w:cs="Arial"/>
        </w:rPr>
        <w:t xml:space="preserve"> 01477 </w:t>
      </w:r>
      <w:proofErr w:type="spellStart"/>
      <w:r w:rsidR="000524E8">
        <w:rPr>
          <w:rFonts w:ascii="Arial" w:hAnsi="Arial" w:cs="Arial"/>
        </w:rPr>
        <w:t>Arnsdorf</w:t>
      </w:r>
      <w:proofErr w:type="spellEnd"/>
      <w:r w:rsidR="000524E8">
        <w:rPr>
          <w:rFonts w:ascii="Arial" w:hAnsi="Arial" w:cs="Arial"/>
        </w:rPr>
        <w:t xml:space="preserve"> während der Dienststunden</w:t>
      </w:r>
      <w:r w:rsidR="00E43FBA">
        <w:rPr>
          <w:rFonts w:ascii="Arial" w:hAnsi="Arial" w:cs="Arial"/>
        </w:rPr>
        <w:t>:</w:t>
      </w:r>
    </w:p>
    <w:p w:rsidR="00622CA3" w:rsidRDefault="00622CA3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12:00 Uhr</w:t>
      </w:r>
    </w:p>
    <w:p w:rsidR="00622CA3" w:rsidRDefault="00622CA3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Dienstag: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12:00 Uhr und 13:00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18:00 Uhr</w:t>
      </w:r>
    </w:p>
    <w:p w:rsidR="00622CA3" w:rsidRDefault="00622CA3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Donnerstag: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12:00 Uhr und 13:00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16:00 Uhr</w:t>
      </w:r>
    </w:p>
    <w:p w:rsidR="000524E8" w:rsidRDefault="00622CA3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Freitag: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12:00 Uhr</w:t>
      </w:r>
    </w:p>
    <w:p w:rsidR="00A13D40" w:rsidRDefault="00A13D40" w:rsidP="00E43FBA">
      <w:pPr>
        <w:spacing w:after="0"/>
        <w:jc w:val="both"/>
        <w:rPr>
          <w:rFonts w:ascii="Arial" w:hAnsi="Arial" w:cs="Arial"/>
        </w:rPr>
      </w:pPr>
    </w:p>
    <w:p w:rsidR="007C63C1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4E8">
        <w:rPr>
          <w:rFonts w:ascii="Arial" w:hAnsi="Arial" w:cs="Arial"/>
        </w:rPr>
        <w:t xml:space="preserve">n der Stadtverwaltung Bischofswerda, </w:t>
      </w:r>
      <w:r w:rsidR="007C63C1">
        <w:rPr>
          <w:rFonts w:ascii="Arial" w:hAnsi="Arial" w:cs="Arial"/>
        </w:rPr>
        <w:t xml:space="preserve">Bürger- und Tourismusservice, </w:t>
      </w:r>
      <w:r w:rsidR="000524E8">
        <w:rPr>
          <w:rFonts w:ascii="Arial" w:hAnsi="Arial" w:cs="Arial"/>
        </w:rPr>
        <w:t>Altmarkt 1, 01877 Bischofswerda während der Dienststunden</w:t>
      </w:r>
      <w:r w:rsidR="00E43FBA">
        <w:rPr>
          <w:rFonts w:ascii="Arial" w:hAnsi="Arial" w:cs="Arial"/>
        </w:rPr>
        <w:t>:</w:t>
      </w:r>
    </w:p>
    <w:p w:rsidR="007C63C1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16:00 Uhr</w:t>
      </w:r>
    </w:p>
    <w:p w:rsidR="007C63C1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Dienstag und Donnerstag: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18:00 Uhr</w:t>
      </w:r>
    </w:p>
    <w:p w:rsidR="007C63C1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Freitag: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12:00 Uhr</w:t>
      </w:r>
    </w:p>
    <w:p w:rsidR="000524E8" w:rsidRDefault="007C63C1" w:rsidP="00E43F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Samstag, am 14. </w:t>
      </w:r>
      <w:r w:rsidR="00A13D4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nd 21.09.2019: </w:t>
      </w:r>
      <w:r>
        <w:rPr>
          <w:rFonts w:ascii="Arial" w:hAnsi="Arial" w:cs="Arial"/>
        </w:rPr>
        <w:tab/>
      </w:r>
      <w:r w:rsidR="00E43FB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9:00 Uhr </w:t>
      </w:r>
      <w:r w:rsidR="00E43F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12:00 Uhr</w:t>
      </w:r>
      <w:r w:rsidR="00376440">
        <w:rPr>
          <w:rFonts w:ascii="Arial" w:hAnsi="Arial" w:cs="Arial"/>
        </w:rPr>
        <w:t>,</w:t>
      </w:r>
    </w:p>
    <w:p w:rsidR="00A13D40" w:rsidRDefault="00A13D40" w:rsidP="00E43FBA">
      <w:pPr>
        <w:spacing w:after="0"/>
        <w:jc w:val="both"/>
        <w:rPr>
          <w:rFonts w:ascii="Arial" w:hAnsi="Arial" w:cs="Arial"/>
        </w:rPr>
      </w:pPr>
    </w:p>
    <w:p w:rsidR="000524E8" w:rsidRDefault="008F4721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4E8">
        <w:rPr>
          <w:rFonts w:ascii="Arial" w:hAnsi="Arial" w:cs="Arial"/>
        </w:rPr>
        <w:t>n der Stadtverwaltung Neustadt in Sachsen,</w:t>
      </w:r>
      <w:r w:rsidR="00622CA3">
        <w:rPr>
          <w:rFonts w:ascii="Arial" w:hAnsi="Arial" w:cs="Arial"/>
        </w:rPr>
        <w:t xml:space="preserve"> im Amt Stadtentwicklung und Bauwesen,</w:t>
      </w:r>
      <w:r w:rsidR="000524E8">
        <w:rPr>
          <w:rFonts w:ascii="Arial" w:hAnsi="Arial" w:cs="Arial"/>
        </w:rPr>
        <w:t xml:space="preserve"> Markt </w:t>
      </w:r>
      <w:r w:rsidR="00622CA3">
        <w:rPr>
          <w:rFonts w:ascii="Arial" w:hAnsi="Arial" w:cs="Arial"/>
        </w:rPr>
        <w:t>24, Zimmer 3</w:t>
      </w:r>
      <w:r w:rsidR="000524E8">
        <w:rPr>
          <w:rFonts w:ascii="Arial" w:hAnsi="Arial" w:cs="Arial"/>
        </w:rPr>
        <w:t>, 01844 Neustadt in Sachsen während der Dienststunden</w:t>
      </w:r>
    </w:p>
    <w:p w:rsidR="000524E8" w:rsidRDefault="008F4721" w:rsidP="007D2363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524E8">
        <w:rPr>
          <w:rFonts w:ascii="Arial" w:hAnsi="Arial" w:cs="Arial"/>
        </w:rPr>
        <w:t>ur allgemeinen Einsichtnahme aus.</w:t>
      </w:r>
    </w:p>
    <w:p w:rsidR="000524E8" w:rsidRDefault="000524E8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Bekanntmachung ist einschließlich der auszulegenden Planunterlagen während des oben genannten Zeitraums auch auf der Internetseite der Landesdirektion Sachsen unter </w:t>
      </w:r>
      <w:hyperlink r:id="rId5" w:history="1">
        <w:r w:rsidRPr="00570D50">
          <w:rPr>
            <w:rStyle w:val="Hyperlink"/>
            <w:rFonts w:ascii="Arial" w:hAnsi="Arial" w:cs="Arial"/>
          </w:rPr>
          <w:t>http://www.lds.sachsen.de/bekanntmachung</w:t>
        </w:r>
      </w:hyperlink>
      <w:r>
        <w:rPr>
          <w:rFonts w:ascii="Arial" w:hAnsi="Arial" w:cs="Arial"/>
        </w:rPr>
        <w:t xml:space="preserve"> unter der Rubrik Infrastruktur – Staatsstraßen einsehbar.</w:t>
      </w:r>
      <w:r w:rsidR="00376440">
        <w:rPr>
          <w:rFonts w:ascii="Arial" w:hAnsi="Arial" w:cs="Arial"/>
        </w:rPr>
        <w:t xml:space="preserve"> Diese Bekanntmachung wird einschließlich der auszulegenden Planunterlagen außerdem im UVP-Portal </w:t>
      </w:r>
      <w:r>
        <w:rPr>
          <w:rFonts w:ascii="Arial" w:hAnsi="Arial" w:cs="Arial"/>
        </w:rPr>
        <w:t xml:space="preserve">unter </w:t>
      </w:r>
      <w:hyperlink r:id="rId6" w:history="1">
        <w:r w:rsidRPr="00570D50">
          <w:rPr>
            <w:rStyle w:val="Hyperlink"/>
            <w:rFonts w:ascii="Arial" w:hAnsi="Arial" w:cs="Arial"/>
          </w:rPr>
          <w:t>https://www.uvp-verbund.de/</w:t>
        </w:r>
      </w:hyperlink>
      <w:r>
        <w:rPr>
          <w:rFonts w:ascii="Arial" w:hAnsi="Arial" w:cs="Arial"/>
        </w:rPr>
        <w:t xml:space="preserve"> zugänglich gemacht. Maßge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lich ist</w:t>
      </w:r>
      <w:r w:rsidR="00C92123">
        <w:rPr>
          <w:rFonts w:ascii="Arial" w:hAnsi="Arial" w:cs="Arial"/>
        </w:rPr>
        <w:t xml:space="preserve"> jedoch</w:t>
      </w:r>
      <w:r>
        <w:rPr>
          <w:rFonts w:ascii="Arial" w:hAnsi="Arial" w:cs="Arial"/>
        </w:rPr>
        <w:t xml:space="preserve"> der Inhalt der ausgelegten Unterlagen (§ 20 Absatz 2 Satz 2 UVPG, § 27a Absatz 1 Satz 4 </w:t>
      </w:r>
      <w:r w:rsidR="00FA2293">
        <w:rPr>
          <w:rFonts w:ascii="Arial" w:hAnsi="Arial" w:cs="Arial"/>
        </w:rPr>
        <w:t xml:space="preserve">Verwaltungsverfahrensgesetz - </w:t>
      </w:r>
      <w:r>
        <w:rPr>
          <w:rFonts w:ascii="Arial" w:hAnsi="Arial" w:cs="Arial"/>
        </w:rPr>
        <w:t>VwVfG</w:t>
      </w:r>
      <w:r w:rsidR="00A91278" w:rsidRPr="00A91278">
        <w:rPr>
          <w:rFonts w:ascii="Arial" w:hAnsi="Arial" w:cs="Arial"/>
        </w:rPr>
        <w:t xml:space="preserve"> </w:t>
      </w:r>
      <w:r w:rsidR="00A91278">
        <w:rPr>
          <w:rFonts w:ascii="Arial" w:hAnsi="Arial" w:cs="Arial"/>
        </w:rPr>
        <w:t>in Verbindung mit § 1 Satz 1 des Gesetzes zur Regelung des Verwaltungsverfahrens- und des Verwaltungszustellungsrechts für den Freistaat Sachsen -</w:t>
      </w:r>
      <w:proofErr w:type="spellStart"/>
      <w:r w:rsidR="00A91278">
        <w:rPr>
          <w:rFonts w:ascii="Arial" w:hAnsi="Arial" w:cs="Arial"/>
        </w:rPr>
        <w:t>SächsVwVfZG</w:t>
      </w:r>
      <w:proofErr w:type="spellEnd"/>
      <w:r>
        <w:rPr>
          <w:rFonts w:ascii="Arial" w:hAnsi="Arial" w:cs="Arial"/>
        </w:rPr>
        <w:t>).</w:t>
      </w:r>
    </w:p>
    <w:p w:rsidR="000524E8" w:rsidRDefault="0086655A" w:rsidP="008F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Darüber</w:t>
      </w:r>
      <w:r w:rsidR="000524E8">
        <w:rPr>
          <w:rFonts w:ascii="Arial" w:hAnsi="Arial" w:cs="Arial"/>
        </w:rPr>
        <w:t xml:space="preserve"> hinaus sind die entscheidungserheblichen Unterlagen gemäß den Bestimmungen des sächsischen Umweltinformationsgesetzes in der Landesdirek</w:t>
      </w:r>
      <w:r>
        <w:rPr>
          <w:rFonts w:ascii="Arial" w:hAnsi="Arial" w:cs="Arial"/>
        </w:rPr>
        <w:t>t</w:t>
      </w:r>
      <w:r w:rsidR="000524E8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Sachsen, Dienststelle Dresden, Referat DD32, </w:t>
      </w:r>
      <w:proofErr w:type="spellStart"/>
      <w:r>
        <w:rPr>
          <w:rFonts w:ascii="Arial" w:hAnsi="Arial" w:cs="Arial"/>
        </w:rPr>
        <w:t>Stauffenbergallee</w:t>
      </w:r>
      <w:proofErr w:type="spellEnd"/>
      <w:r>
        <w:rPr>
          <w:rFonts w:ascii="Arial" w:hAnsi="Arial" w:cs="Arial"/>
        </w:rPr>
        <w:t xml:space="preserve"> 2, 01099 Dresden, auf Antrag zugänglich.</w:t>
      </w:r>
    </w:p>
    <w:p w:rsidR="0086655A" w:rsidRDefault="0086655A" w:rsidP="008F472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Jeder kann bis spätestens einen Monat nach Ablauf der Auslegungsfrist, das ist bis zum </w:t>
      </w:r>
      <w:r w:rsidR="008F4721">
        <w:rPr>
          <w:rFonts w:ascii="Arial" w:hAnsi="Arial" w:cs="Arial"/>
        </w:rPr>
        <w:tab/>
      </w:r>
      <w:r w:rsidR="00D57301" w:rsidRPr="00D57301">
        <w:rPr>
          <w:rFonts w:ascii="Arial" w:hAnsi="Arial" w:cs="Arial"/>
          <w:b/>
        </w:rPr>
        <w:t>4. November 2019</w:t>
      </w:r>
      <w:r w:rsidR="00D57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der Landesdirektion Sachsen, Postfachanschrift, schriftlich, bei der </w:t>
      </w:r>
      <w:r w:rsidR="00D573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Landesdirektion Sachsen, Dienststelle Dresden, </w:t>
      </w:r>
      <w:proofErr w:type="spellStart"/>
      <w:r>
        <w:rPr>
          <w:rFonts w:ascii="Arial" w:hAnsi="Arial" w:cs="Arial"/>
        </w:rPr>
        <w:t>Stauffenbergallee</w:t>
      </w:r>
      <w:proofErr w:type="spellEnd"/>
      <w:r>
        <w:rPr>
          <w:rFonts w:ascii="Arial" w:hAnsi="Arial" w:cs="Arial"/>
        </w:rPr>
        <w:t xml:space="preserve"> 2, 01099 Dresden oder </w:t>
      </w:r>
      <w:r w:rsidR="00D57301">
        <w:rPr>
          <w:rFonts w:ascii="Arial" w:hAnsi="Arial" w:cs="Arial"/>
        </w:rPr>
        <w:tab/>
      </w:r>
      <w:r>
        <w:rPr>
          <w:rFonts w:ascii="Arial" w:hAnsi="Arial" w:cs="Arial"/>
        </w:rPr>
        <w:t>bei den oben genannten Gemeindeverwaltungen Einwendungen gegen den Plan schrift</w:t>
      </w:r>
      <w:r w:rsidR="00D57301">
        <w:rPr>
          <w:rFonts w:ascii="Arial" w:hAnsi="Arial" w:cs="Arial"/>
        </w:rPr>
        <w:t>-</w:t>
      </w:r>
      <w:r w:rsidR="00D5730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lich</w:t>
      </w:r>
      <w:proofErr w:type="spellEnd"/>
      <w:r>
        <w:rPr>
          <w:rFonts w:ascii="Arial" w:hAnsi="Arial" w:cs="Arial"/>
        </w:rPr>
        <w:t xml:space="preserve"> oder zur Niederschrift erheben bzw. sich äußern. Die Einwendung muss den geltend </w:t>
      </w:r>
      <w:r w:rsidR="00D57301">
        <w:rPr>
          <w:rFonts w:ascii="Arial" w:hAnsi="Arial" w:cs="Arial"/>
        </w:rPr>
        <w:tab/>
      </w:r>
      <w:r>
        <w:rPr>
          <w:rFonts w:ascii="Arial" w:hAnsi="Arial" w:cs="Arial"/>
        </w:rPr>
        <w:t>gemachten Belang und das Maß seiner Beeinträchtigung erkennen lassen.</w:t>
      </w:r>
    </w:p>
    <w:p w:rsidR="004070E5" w:rsidRDefault="008F4721" w:rsidP="008F472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70E5">
        <w:rPr>
          <w:rFonts w:ascii="Arial" w:hAnsi="Arial" w:cs="Arial"/>
        </w:rPr>
        <w:t xml:space="preserve">Nach Ablauf der Äußerungsfrist sind für das Verfahren über die Zulässigkeit des </w:t>
      </w:r>
      <w:proofErr w:type="spellStart"/>
      <w:r w:rsidR="004070E5">
        <w:rPr>
          <w:rFonts w:ascii="Arial" w:hAnsi="Arial" w:cs="Arial"/>
        </w:rPr>
        <w:t>Vorha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4070E5">
        <w:rPr>
          <w:rFonts w:ascii="Arial" w:hAnsi="Arial" w:cs="Arial"/>
        </w:rPr>
        <w:t>bens</w:t>
      </w:r>
      <w:proofErr w:type="spellEnd"/>
      <w:r w:rsidR="004070E5">
        <w:rPr>
          <w:rFonts w:ascii="Arial" w:hAnsi="Arial" w:cs="Arial"/>
        </w:rPr>
        <w:t xml:space="preserve"> alle Äußerungen, die nicht auf besonderen privatrechtlichen</w:t>
      </w:r>
      <w:r w:rsidR="00E44B17">
        <w:rPr>
          <w:rFonts w:ascii="Arial" w:hAnsi="Arial" w:cs="Arial"/>
        </w:rPr>
        <w:t xml:space="preserve"> </w:t>
      </w:r>
      <w:r w:rsidR="004070E5">
        <w:rPr>
          <w:rFonts w:ascii="Arial" w:hAnsi="Arial" w:cs="Arial"/>
        </w:rPr>
        <w:t xml:space="preserve">Titel beruhen, </w:t>
      </w:r>
      <w:proofErr w:type="spellStart"/>
      <w:r w:rsidR="004070E5">
        <w:rPr>
          <w:rFonts w:ascii="Arial" w:hAnsi="Arial" w:cs="Arial"/>
        </w:rPr>
        <w:t>ausge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070E5">
        <w:rPr>
          <w:rFonts w:ascii="Arial" w:hAnsi="Arial" w:cs="Arial"/>
        </w:rPr>
        <w:t>schlossen, § 21 Absatz 4 Satz 1 UVPG</w:t>
      </w:r>
      <w:r w:rsidR="00E44B17">
        <w:rPr>
          <w:rFonts w:ascii="Arial" w:hAnsi="Arial" w:cs="Arial"/>
        </w:rPr>
        <w:t xml:space="preserve">. Die Äußerungsfrist gilt auch für solche </w:t>
      </w:r>
      <w:proofErr w:type="spellStart"/>
      <w:r w:rsidR="00E44B17">
        <w:rPr>
          <w:rFonts w:ascii="Arial" w:hAnsi="Arial" w:cs="Arial"/>
        </w:rPr>
        <w:t>Einwen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E44B17">
        <w:rPr>
          <w:rFonts w:ascii="Arial" w:hAnsi="Arial" w:cs="Arial"/>
        </w:rPr>
        <w:t>dungen</w:t>
      </w:r>
      <w:proofErr w:type="spellEnd"/>
      <w:r w:rsidR="00E44B17">
        <w:rPr>
          <w:rFonts w:ascii="Arial" w:hAnsi="Arial" w:cs="Arial"/>
        </w:rPr>
        <w:t xml:space="preserve">, die sich nicht auf die Umweltauswirkungen des Vorhabens beziehen, § 21 Absatz </w:t>
      </w: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5 UVPG.</w:t>
      </w:r>
    </w:p>
    <w:p w:rsidR="00E44B17" w:rsidRDefault="008F4721" w:rsidP="008F472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44B17">
        <w:rPr>
          <w:rFonts w:ascii="Arial" w:hAnsi="Arial" w:cs="Arial"/>
        </w:rPr>
        <w:t xml:space="preserve">Bei Einwendungen bzw. Äußerungen, die von mehr als 50 Personen auf </w:t>
      </w:r>
      <w:proofErr w:type="spellStart"/>
      <w:r w:rsidR="00E44B17">
        <w:rPr>
          <w:rFonts w:ascii="Arial" w:hAnsi="Arial" w:cs="Arial"/>
        </w:rPr>
        <w:t>Unterschriftslis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E44B17">
        <w:rPr>
          <w:rFonts w:ascii="Arial" w:hAnsi="Arial" w:cs="Arial"/>
        </w:rPr>
        <w:t>ten</w:t>
      </w:r>
      <w:proofErr w:type="spellEnd"/>
      <w:r w:rsidR="00E44B17">
        <w:rPr>
          <w:rFonts w:ascii="Arial" w:hAnsi="Arial" w:cs="Arial"/>
        </w:rPr>
        <w:t xml:space="preserve"> unterzeichnet oder in Form vervielfältigter gleichlautender Texte eingereicht werden </w:t>
      </w: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(gleichförmige Eingaben), ist auf jeder mit einer Unterschrift versehenen Seite ein Unter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E44B17">
        <w:rPr>
          <w:rFonts w:ascii="Arial" w:hAnsi="Arial" w:cs="Arial"/>
        </w:rPr>
        <w:t>zeichner</w:t>
      </w:r>
      <w:proofErr w:type="spellEnd"/>
      <w:r w:rsidR="00E44B17">
        <w:rPr>
          <w:rFonts w:ascii="Arial" w:hAnsi="Arial" w:cs="Arial"/>
        </w:rPr>
        <w:t xml:space="preserve"> mit Namen, Beruf und Anschrift als Vertreter der übrigen Unterzeichner zu </w:t>
      </w:r>
      <w:proofErr w:type="spellStart"/>
      <w:r w:rsidR="00E44B17"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zeichnen. Anderenfalls können diese Einwendungen unberücksichtigt bleiben.</w:t>
      </w:r>
    </w:p>
    <w:p w:rsidR="00E44B17" w:rsidRDefault="008F4721" w:rsidP="008F472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Es wird darauf hingewiesen, dass keine Eingangsbestätigung erfolgt.</w:t>
      </w:r>
    </w:p>
    <w:p w:rsidR="00FA2293" w:rsidRDefault="00E44B17" w:rsidP="00FA2293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Diese ortsübliche Bekanntmachung dient auch der Benachrichtigung der Vereinigungen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nach § 39 Absatz 3 Satz 2 </w:t>
      </w:r>
      <w:r w:rsidR="00FA2293">
        <w:rPr>
          <w:rFonts w:ascii="Arial" w:hAnsi="Arial" w:cs="Arial"/>
        </w:rPr>
        <w:t>Sächsisches Straßengesetz (</w:t>
      </w:r>
      <w:r>
        <w:rPr>
          <w:rFonts w:ascii="Arial" w:hAnsi="Arial" w:cs="Arial"/>
        </w:rPr>
        <w:t>SächsStrG</w:t>
      </w:r>
      <w:r w:rsidR="00FA22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Verbindung mit </w:t>
      </w:r>
    </w:p>
    <w:p w:rsidR="00E44B17" w:rsidRDefault="00FA2293" w:rsidP="00FA229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§73 Absatz 4 Satz 5 VwVfG.</w:t>
      </w:r>
    </w:p>
    <w:p w:rsidR="00E44B17" w:rsidRDefault="00E44B17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Die Anhörungsbehörde kann auf die Erörterung der rechtzeitig erhobenen Stellungnah</w:t>
      </w:r>
      <w:r w:rsidR="009542F6">
        <w:rPr>
          <w:rFonts w:ascii="Arial" w:hAnsi="Arial" w:cs="Arial"/>
        </w:rPr>
        <w:t>-</w:t>
      </w:r>
      <w:r w:rsidR="008F472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</w:t>
      </w:r>
      <w:proofErr w:type="spellEnd"/>
      <w:r>
        <w:rPr>
          <w:rFonts w:ascii="Arial" w:hAnsi="Arial" w:cs="Arial"/>
        </w:rPr>
        <w:t xml:space="preserve"> und Einwendungen verzichten (§ 39 Absatz 4 </w:t>
      </w:r>
      <w:proofErr w:type="spellStart"/>
      <w:r>
        <w:rPr>
          <w:rFonts w:ascii="Arial" w:hAnsi="Arial" w:cs="Arial"/>
        </w:rPr>
        <w:t>Sächs</w:t>
      </w:r>
      <w:r w:rsidR="00A91278">
        <w:rPr>
          <w:rFonts w:ascii="Arial" w:hAnsi="Arial" w:cs="Arial"/>
        </w:rPr>
        <w:t>S</w:t>
      </w:r>
      <w:r>
        <w:rPr>
          <w:rFonts w:ascii="Arial" w:hAnsi="Arial" w:cs="Arial"/>
        </w:rPr>
        <w:t>trG</w:t>
      </w:r>
      <w:proofErr w:type="spellEnd"/>
      <w:r>
        <w:rPr>
          <w:rFonts w:ascii="Arial" w:hAnsi="Arial" w:cs="Arial"/>
        </w:rPr>
        <w:t>).</w:t>
      </w:r>
    </w:p>
    <w:p w:rsidR="00E44B17" w:rsidRDefault="008F4721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Findet ein Erörterungstermin statt, wird er ortsüblich bekannt gemacht werden.</w:t>
      </w:r>
    </w:p>
    <w:p w:rsidR="00E44B17" w:rsidRDefault="008F4721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 xml:space="preserve">Ferner werden diejenigen, die rechtzeitig Einwendungen erhoben haben, Äußerungen </w:t>
      </w: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 xml:space="preserve">vorgebracht oder Stellungnahmen abgegeben haben, von dem Temin gesondert </w:t>
      </w:r>
      <w:proofErr w:type="spellStart"/>
      <w:r w:rsidR="00E44B17">
        <w:rPr>
          <w:rFonts w:ascii="Arial" w:hAnsi="Arial" w:cs="Arial"/>
        </w:rPr>
        <w:t>benach</w:t>
      </w:r>
      <w:proofErr w:type="spellEnd"/>
      <w:r w:rsidR="009542F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E44B17">
        <w:rPr>
          <w:rFonts w:ascii="Arial" w:hAnsi="Arial" w:cs="Arial"/>
        </w:rPr>
        <w:t>richtigt</w:t>
      </w:r>
      <w:proofErr w:type="spellEnd"/>
      <w:r w:rsidR="00E44B17">
        <w:rPr>
          <w:rFonts w:ascii="Arial" w:hAnsi="Arial" w:cs="Arial"/>
        </w:rPr>
        <w:t xml:space="preserve">. Bei gleichförmigen Einwendungen gilt diese Regelung für den Vertreter (§ 17 </w:t>
      </w:r>
      <w:r>
        <w:rPr>
          <w:rFonts w:ascii="Arial" w:hAnsi="Arial" w:cs="Arial"/>
        </w:rPr>
        <w:tab/>
      </w:r>
      <w:r w:rsidR="00E44B17">
        <w:rPr>
          <w:rFonts w:ascii="Arial" w:hAnsi="Arial" w:cs="Arial"/>
        </w:rPr>
        <w:t>VwVfG).</w:t>
      </w:r>
    </w:p>
    <w:p w:rsidR="00AD2329" w:rsidRDefault="008F4721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2329">
        <w:rPr>
          <w:rFonts w:ascii="Arial" w:hAnsi="Arial" w:cs="Arial"/>
        </w:rPr>
        <w:t xml:space="preserve">Sind mehr als 50 Benachrichtigungen vorzunehmen, so können sie durch öffentliche </w:t>
      </w:r>
      <w:proofErr w:type="spellStart"/>
      <w:r w:rsidR="00AD2329">
        <w:rPr>
          <w:rFonts w:ascii="Arial" w:hAnsi="Arial" w:cs="Arial"/>
        </w:rPr>
        <w:t>Be</w:t>
      </w:r>
      <w:proofErr w:type="spellEnd"/>
      <w:r w:rsidR="009542F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AD2329">
        <w:rPr>
          <w:rFonts w:ascii="Arial" w:hAnsi="Arial" w:cs="Arial"/>
        </w:rPr>
        <w:t>kanntmachung</w:t>
      </w:r>
      <w:proofErr w:type="spellEnd"/>
      <w:r w:rsidR="00AD2329">
        <w:rPr>
          <w:rFonts w:ascii="Arial" w:hAnsi="Arial" w:cs="Arial"/>
        </w:rPr>
        <w:t xml:space="preserve"> ersetzt werden.</w:t>
      </w:r>
    </w:p>
    <w:p w:rsidR="00AD2329" w:rsidRDefault="008F4721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2329">
        <w:rPr>
          <w:rFonts w:ascii="Arial" w:hAnsi="Arial" w:cs="Arial"/>
        </w:rPr>
        <w:t xml:space="preserve">Die Vertretung durch einen Bevollmächtigten ist möglich. Die Bevollmächtigung ist durch </w:t>
      </w:r>
      <w:r>
        <w:rPr>
          <w:rFonts w:ascii="Arial" w:hAnsi="Arial" w:cs="Arial"/>
        </w:rPr>
        <w:tab/>
      </w:r>
      <w:r w:rsidR="00AD2329">
        <w:rPr>
          <w:rFonts w:ascii="Arial" w:hAnsi="Arial" w:cs="Arial"/>
        </w:rPr>
        <w:t xml:space="preserve">schriftliche Vollmacht nachzuweisen, die zu den Akten der Anhörungsbehörde zu geben </w:t>
      </w:r>
      <w:r>
        <w:rPr>
          <w:rFonts w:ascii="Arial" w:hAnsi="Arial" w:cs="Arial"/>
        </w:rPr>
        <w:tab/>
      </w:r>
      <w:r w:rsidR="00AD2329">
        <w:rPr>
          <w:rFonts w:ascii="Arial" w:hAnsi="Arial" w:cs="Arial"/>
        </w:rPr>
        <w:t xml:space="preserve">ist. Bei Ausbleiben eines Beteiligten kann auch ohne ihn verhandelt werden. Das </w:t>
      </w:r>
      <w:proofErr w:type="spellStart"/>
      <w:r w:rsidR="00AD2329">
        <w:rPr>
          <w:rFonts w:ascii="Arial" w:hAnsi="Arial" w:cs="Arial"/>
        </w:rPr>
        <w:t>Anhö</w:t>
      </w:r>
      <w:proofErr w:type="spellEnd"/>
      <w:r w:rsidR="009542F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="00AD2329">
        <w:rPr>
          <w:rFonts w:ascii="Arial" w:hAnsi="Arial" w:cs="Arial"/>
        </w:rPr>
        <w:t>rungsverfahren</w:t>
      </w:r>
      <w:proofErr w:type="spellEnd"/>
      <w:r w:rsidR="00AD2329">
        <w:rPr>
          <w:rFonts w:ascii="Arial" w:hAnsi="Arial" w:cs="Arial"/>
        </w:rPr>
        <w:t xml:space="preserve"> ist mit Abschluss des Erörterungstermins beendet.</w:t>
      </w:r>
    </w:p>
    <w:p w:rsidR="00AD2329" w:rsidRDefault="008F4721" w:rsidP="008F472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2329">
        <w:rPr>
          <w:rFonts w:ascii="Arial" w:hAnsi="Arial" w:cs="Arial"/>
        </w:rPr>
        <w:t>Der Erörterungstermin ist nicht öffentlich.</w:t>
      </w:r>
    </w:p>
    <w:p w:rsidR="00AD2329" w:rsidRDefault="00AD2329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Durch Einsichtnahme in die Planunterlagen, Erhebung von Einwendungen, Vorbringen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von Äußerungen oder Abgabe von Stellungnahmen, Teilnahme am Erörterungstermin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oder Vertreterbestellung entstehende Kosten werden nicht erstattet.</w:t>
      </w:r>
    </w:p>
    <w:p w:rsidR="00AD2329" w:rsidRDefault="00AD2329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Entschädigungsansprüche, soweit über sie nicht in der Planfeststellung dem Grunde nach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zu entscheiden </w:t>
      </w:r>
      <w:r w:rsidR="006559E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, werden nicht in dem Erörterungstermin, sondern in einem gesonderten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Entschädigungsverfahren behandelt.</w:t>
      </w:r>
    </w:p>
    <w:p w:rsidR="00AD2329" w:rsidRDefault="00AD2329" w:rsidP="009542F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Über die Äußerungen, Einwendungen und Stellungnahmen wird nach Abschluss des An</w:t>
      </w:r>
      <w:r w:rsidR="009542F6">
        <w:rPr>
          <w:rFonts w:ascii="Arial" w:hAnsi="Arial" w:cs="Arial"/>
        </w:rPr>
        <w:t>-</w:t>
      </w:r>
      <w:r w:rsidR="008F472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hörungsverfahrens</w:t>
      </w:r>
      <w:proofErr w:type="spellEnd"/>
      <w:r>
        <w:rPr>
          <w:rFonts w:ascii="Arial" w:hAnsi="Arial" w:cs="Arial"/>
        </w:rPr>
        <w:t xml:space="preserve"> durch die Planfeststellungsbehörde (Landesdirektion Sachsen) </w:t>
      </w:r>
      <w:proofErr w:type="spellStart"/>
      <w:r>
        <w:rPr>
          <w:rFonts w:ascii="Arial" w:hAnsi="Arial" w:cs="Arial"/>
        </w:rPr>
        <w:t>ent</w:t>
      </w:r>
      <w:proofErr w:type="spellEnd"/>
      <w:r w:rsidR="009542F6">
        <w:rPr>
          <w:rFonts w:ascii="Arial" w:hAnsi="Arial" w:cs="Arial"/>
        </w:rPr>
        <w:t>-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schieden. Die Zustellung der Entscheidung (Planfeststellungsbeschluss) an die </w:t>
      </w:r>
      <w:proofErr w:type="spellStart"/>
      <w:r>
        <w:rPr>
          <w:rFonts w:ascii="Arial" w:hAnsi="Arial" w:cs="Arial"/>
        </w:rPr>
        <w:t>Einwen</w:t>
      </w:r>
      <w:proofErr w:type="spellEnd"/>
      <w:r w:rsidR="009542F6">
        <w:rPr>
          <w:rFonts w:ascii="Arial" w:hAnsi="Arial" w:cs="Arial"/>
        </w:rPr>
        <w:t>-</w:t>
      </w:r>
      <w:r w:rsidR="008F4721">
        <w:rPr>
          <w:rFonts w:ascii="Arial" w:hAnsi="Arial" w:cs="Arial"/>
        </w:rPr>
        <w:tab/>
      </w:r>
      <w:r w:rsidR="00376440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und diejenigen, die eine Stellungnahme abgegeben haben, kann durch öffentliche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Bekanntmachung ersetzt werden, wenn mehr als 50 Zustellungen vorzunehmen sind. </w:t>
      </w:r>
    </w:p>
    <w:p w:rsidR="00AD2329" w:rsidRDefault="00AD2329" w:rsidP="009542F6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Vom Beginn der Auslegung des Planes treten die Anbaubeschränkungen nach § 24 SächsS</w:t>
      </w:r>
      <w:r w:rsidR="00D03103">
        <w:rPr>
          <w:rFonts w:ascii="Arial" w:hAnsi="Arial" w:cs="Arial"/>
        </w:rPr>
        <w:t>trG und die Veränderungssperre n</w:t>
      </w:r>
      <w:r>
        <w:rPr>
          <w:rFonts w:ascii="Arial" w:hAnsi="Arial" w:cs="Arial"/>
        </w:rPr>
        <w:t>ach § 40 SächsStrG in Kraft. Darüber hinaus steht ab diesem Zeitpunkt dem Träger der Straßenbaulast ein Vorkaufsrecht an den vom Plan betroffenen Flächen zu (§ 40 Absatz 1 Satz 3 SächsStrG).</w:t>
      </w:r>
    </w:p>
    <w:p w:rsidR="005E4828" w:rsidRDefault="005E4828" w:rsidP="00D57301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F4721">
        <w:rPr>
          <w:rFonts w:ascii="Arial" w:hAnsi="Arial" w:cs="Arial"/>
        </w:rPr>
        <w:tab/>
      </w:r>
      <w:r>
        <w:rPr>
          <w:rFonts w:ascii="Arial" w:hAnsi="Arial" w:cs="Arial"/>
        </w:rPr>
        <w:t>Da das Vorhaben UVP-pflichtig ist, wird darauf hingewiesen,</w:t>
      </w:r>
    </w:p>
    <w:p w:rsidR="005E4828" w:rsidRDefault="008F4721" w:rsidP="00D57301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E4828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="005E4828">
        <w:rPr>
          <w:rFonts w:ascii="Arial" w:hAnsi="Arial" w:cs="Arial"/>
        </w:rPr>
        <w:t>dass die für das Verfahren und die für die Entscheidung über die Zulässigkeit des Vor</w:t>
      </w:r>
      <w:r w:rsidR="009542F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E4828">
        <w:rPr>
          <w:rFonts w:ascii="Arial" w:hAnsi="Arial" w:cs="Arial"/>
        </w:rPr>
        <w:t>habens</w:t>
      </w:r>
      <w:proofErr w:type="spellEnd"/>
      <w:r w:rsidR="005E4828">
        <w:rPr>
          <w:rFonts w:ascii="Arial" w:hAnsi="Arial" w:cs="Arial"/>
        </w:rPr>
        <w:t xml:space="preserve"> zuständige Behörde die Landesdirektion Sachsen ist,</w:t>
      </w:r>
    </w:p>
    <w:p w:rsidR="005E4828" w:rsidRDefault="008F4721" w:rsidP="00D57301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59E9">
        <w:rPr>
          <w:rFonts w:ascii="Arial" w:hAnsi="Arial" w:cs="Arial"/>
        </w:rPr>
        <w:t>b</w:t>
      </w:r>
      <w:r w:rsidR="005E48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D03103">
        <w:rPr>
          <w:rFonts w:ascii="Arial" w:hAnsi="Arial" w:cs="Arial"/>
        </w:rPr>
        <w:t xml:space="preserve">dass mit den ausgelegten Planunterlagen ein Umweltbericht nach § 16 UVPG </w:t>
      </w:r>
      <w:proofErr w:type="spellStart"/>
      <w:r w:rsidR="00D03103">
        <w:rPr>
          <w:rFonts w:ascii="Arial" w:hAnsi="Arial" w:cs="Arial"/>
        </w:rPr>
        <w:t>vorge</w:t>
      </w:r>
      <w:proofErr w:type="spellEnd"/>
      <w:r w:rsidR="009542F6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3103">
        <w:rPr>
          <w:rFonts w:ascii="Arial" w:hAnsi="Arial" w:cs="Arial"/>
        </w:rPr>
        <w:t>legt wurde,</w:t>
      </w:r>
    </w:p>
    <w:p w:rsidR="00D03103" w:rsidRDefault="008F4721" w:rsidP="006559E9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59E9">
        <w:rPr>
          <w:rFonts w:ascii="Arial" w:hAnsi="Arial" w:cs="Arial"/>
        </w:rPr>
        <w:t>c</w:t>
      </w:r>
      <w:r w:rsidR="00D031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D03103">
        <w:rPr>
          <w:rFonts w:ascii="Arial" w:hAnsi="Arial" w:cs="Arial"/>
        </w:rPr>
        <w:t xml:space="preserve">dass die Anhörung zu den ausgelegten Planunterlagen auch die Einbeziehung 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3103">
        <w:rPr>
          <w:rFonts w:ascii="Arial" w:hAnsi="Arial" w:cs="Arial"/>
        </w:rPr>
        <w:t>Öffentlichkeit zu den Umweltauswirkungen des Vorhabens gemäß § 18 UVPG ist,</w:t>
      </w:r>
    </w:p>
    <w:p w:rsidR="006559E9" w:rsidRDefault="006559E9" w:rsidP="006559E9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 xml:space="preserve">dass über die Zulässigkeit des Vorhabens durch Planfeststellungsbeschluss </w:t>
      </w:r>
      <w:proofErr w:type="spellStart"/>
      <w:r>
        <w:rPr>
          <w:rFonts w:ascii="Arial" w:hAnsi="Arial" w:cs="Arial"/>
        </w:rPr>
        <w:t>entschie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den werden wird.</w:t>
      </w:r>
    </w:p>
    <w:p w:rsidR="006559E9" w:rsidRDefault="006559E9" w:rsidP="006559E9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</w:rPr>
      </w:pPr>
    </w:p>
    <w:p w:rsidR="00C93F5A" w:rsidRDefault="00C92123" w:rsidP="00D5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 Abgabe von St</w:t>
      </w:r>
      <w:r w:rsidR="00C93F5A">
        <w:rPr>
          <w:rFonts w:ascii="Arial" w:hAnsi="Arial" w:cs="Arial"/>
        </w:rPr>
        <w:t>ellungnahmen und Äußerungen oder der Erhebung von Einwendu</w:t>
      </w:r>
      <w:r w:rsidR="00C93F5A">
        <w:rPr>
          <w:rFonts w:ascii="Arial" w:hAnsi="Arial" w:cs="Arial"/>
        </w:rPr>
        <w:t>n</w:t>
      </w:r>
      <w:r w:rsidR="00C93F5A">
        <w:rPr>
          <w:rFonts w:ascii="Arial" w:hAnsi="Arial" w:cs="Arial"/>
        </w:rPr>
        <w:t>gen seitens der Beteiligten werden zum Zwecke der Durchführung dieses Planfeststellung</w:t>
      </w:r>
      <w:r w:rsidR="00C93F5A">
        <w:rPr>
          <w:rFonts w:ascii="Arial" w:hAnsi="Arial" w:cs="Arial"/>
        </w:rPr>
        <w:t>s</w:t>
      </w:r>
      <w:r w:rsidR="00C93F5A">
        <w:rPr>
          <w:rFonts w:ascii="Arial" w:hAnsi="Arial" w:cs="Arial"/>
        </w:rPr>
        <w:t>verfahrens Daten erhoben. Diese Daten werden von der Landesdirektion Sachsen in Erfü</w:t>
      </w:r>
      <w:r w:rsidR="00C93F5A">
        <w:rPr>
          <w:rFonts w:ascii="Arial" w:hAnsi="Arial" w:cs="Arial"/>
        </w:rPr>
        <w:t>l</w:t>
      </w:r>
      <w:r w:rsidR="00C93F5A">
        <w:rPr>
          <w:rFonts w:ascii="Arial" w:hAnsi="Arial" w:cs="Arial"/>
        </w:rPr>
        <w:t xml:space="preserve">lung ihrer Aufgaben gemäß den geltenden Bestimmungen zum Datenschutz verarbeitet. Die entsprechenden datenschutzrechtlichen Informationen nach Art. 13 Absatz 1 und 2 sowie Art. 14 Absatz 1 und 2 Datenschutz-Grundverordnung (DSGVO) sind unter </w:t>
      </w:r>
      <w:hyperlink r:id="rId7" w:history="1">
        <w:r w:rsidR="00C93F5A" w:rsidRPr="00570D50">
          <w:rPr>
            <w:rStyle w:val="Hyperlink"/>
            <w:rFonts w:ascii="Arial" w:hAnsi="Arial" w:cs="Arial"/>
          </w:rPr>
          <w:t>https://www.lds.sachsen.de/Datenschutz</w:t>
        </w:r>
      </w:hyperlink>
      <w:r w:rsidR="00C93F5A">
        <w:rPr>
          <w:rFonts w:ascii="Arial" w:hAnsi="Arial" w:cs="Arial"/>
        </w:rPr>
        <w:t xml:space="preserve"> einsehbar.</w:t>
      </w:r>
    </w:p>
    <w:p w:rsidR="00B67F8E" w:rsidRDefault="00B67F8E" w:rsidP="007D2363">
      <w:pPr>
        <w:rPr>
          <w:rFonts w:ascii="Arial" w:hAnsi="Arial" w:cs="Arial"/>
        </w:rPr>
      </w:pPr>
    </w:p>
    <w:p w:rsidR="006559E9" w:rsidRDefault="006559E9" w:rsidP="007D2363">
      <w:pPr>
        <w:rPr>
          <w:rFonts w:ascii="Arial" w:hAnsi="Arial" w:cs="Arial"/>
        </w:rPr>
      </w:pPr>
    </w:p>
    <w:p w:rsidR="00D57301" w:rsidRPr="00D57301" w:rsidRDefault="00D57301" w:rsidP="00D57301">
      <w:pPr>
        <w:overflowPunct w:val="0"/>
        <w:autoSpaceDE w:val="0"/>
        <w:autoSpaceDN w:val="0"/>
        <w:adjustRightInd w:val="0"/>
        <w:spacing w:after="960" w:line="240" w:lineRule="auto"/>
        <w:ind w:left="425"/>
        <w:jc w:val="center"/>
        <w:textAlignment w:val="baseline"/>
        <w:rPr>
          <w:rFonts w:ascii="Arial" w:eastAsia="Times New Roman" w:hAnsi="Arial" w:cs="Arial"/>
          <w:lang w:eastAsia="de-DE"/>
        </w:rPr>
      </w:pPr>
    </w:p>
    <w:sectPr w:rsidR="00D57301" w:rsidRPr="00D57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3"/>
    <w:rsid w:val="000524E8"/>
    <w:rsid w:val="000D5E9F"/>
    <w:rsid w:val="00176900"/>
    <w:rsid w:val="001C6516"/>
    <w:rsid w:val="001D054C"/>
    <w:rsid w:val="0024542B"/>
    <w:rsid w:val="00376440"/>
    <w:rsid w:val="003824C9"/>
    <w:rsid w:val="00400189"/>
    <w:rsid w:val="004070E5"/>
    <w:rsid w:val="004619BE"/>
    <w:rsid w:val="00486F74"/>
    <w:rsid w:val="00491BF1"/>
    <w:rsid w:val="00497A0D"/>
    <w:rsid w:val="005E4828"/>
    <w:rsid w:val="00622CA3"/>
    <w:rsid w:val="006559E9"/>
    <w:rsid w:val="006C2731"/>
    <w:rsid w:val="007C63C1"/>
    <w:rsid w:val="007D2363"/>
    <w:rsid w:val="0086655A"/>
    <w:rsid w:val="008F4721"/>
    <w:rsid w:val="009542F6"/>
    <w:rsid w:val="009D0260"/>
    <w:rsid w:val="00A13D40"/>
    <w:rsid w:val="00A91278"/>
    <w:rsid w:val="00AD2329"/>
    <w:rsid w:val="00B00068"/>
    <w:rsid w:val="00B67F8E"/>
    <w:rsid w:val="00C92123"/>
    <w:rsid w:val="00C93F5A"/>
    <w:rsid w:val="00D03103"/>
    <w:rsid w:val="00D4472D"/>
    <w:rsid w:val="00D4491A"/>
    <w:rsid w:val="00D57301"/>
    <w:rsid w:val="00E43FBA"/>
    <w:rsid w:val="00E44B17"/>
    <w:rsid w:val="00E7004E"/>
    <w:rsid w:val="00EB6AA0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24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D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690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24E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D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69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ds.sachsen.de/Datenschut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vp-verbund.de/" TargetMode="External"/><Relationship Id="rId5" Type="http://schemas.openxmlformats.org/officeDocument/2006/relationships/hyperlink" Target="http://www.lds.sachsen.de/bekanntmachu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10829</CharactersWithSpaces>
  <SharedDoc>false</SharedDoc>
  <HLinks>
    <vt:vector size="18" baseType="variant"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https://www.lds.sachsen.de/Datenschutz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https://www.uvp-verbund.de/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Storch, Sabine - LDS</dc:creator>
  <cp:lastModifiedBy>Storch, Sabine - LDS</cp:lastModifiedBy>
  <cp:revision>2</cp:revision>
  <dcterms:created xsi:type="dcterms:W3CDTF">2019-09-04T14:26:00Z</dcterms:created>
  <dcterms:modified xsi:type="dcterms:W3CDTF">2019-09-04T14:26:00Z</dcterms:modified>
</cp:coreProperties>
</file>