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7D60" w14:textId="5D96C241" w:rsidR="00FA6A73" w:rsidRPr="00307FE4" w:rsidRDefault="00677C60" w:rsidP="00FA6A73">
      <w:pPr>
        <w:jc w:val="center"/>
        <w:rPr>
          <w:b/>
        </w:rPr>
      </w:pPr>
      <w:bookmarkStart w:id="0" w:name="_GoBack"/>
      <w:bookmarkEnd w:id="0"/>
      <w:r>
        <w:rPr>
          <w:b/>
        </w:rPr>
        <w:t>Bekanntgabe</w:t>
      </w:r>
    </w:p>
    <w:p w14:paraId="2FA48E7D" w14:textId="77777777" w:rsidR="00FA6A73" w:rsidRDefault="00FA6A73" w:rsidP="00FA6A73">
      <w:pPr>
        <w:jc w:val="center"/>
        <w:rPr>
          <w:b/>
        </w:rPr>
      </w:pPr>
      <w:r w:rsidRPr="00307FE4">
        <w:rPr>
          <w:b/>
        </w:rPr>
        <w:t>der Landesdirektion Sachsen</w:t>
      </w:r>
    </w:p>
    <w:p w14:paraId="56FB173E" w14:textId="77777777" w:rsidR="00FA6A73" w:rsidRPr="00307FE4" w:rsidRDefault="00FA6A73" w:rsidP="00FA6A73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79B78A73" w14:textId="77777777" w:rsidR="00FA6A73" w:rsidRPr="00770F8A" w:rsidRDefault="00FA6A73" w:rsidP="00FA6A73">
      <w:pPr>
        <w:jc w:val="center"/>
        <w:rPr>
          <w:b/>
        </w:rPr>
      </w:pPr>
      <w:r w:rsidRPr="00307FE4">
        <w:rPr>
          <w:b/>
        </w:rPr>
        <w:t xml:space="preserve">über das </w:t>
      </w:r>
      <w:r w:rsidRPr="00770F8A">
        <w:rPr>
          <w:b/>
        </w:rPr>
        <w:t>Ergebnis der Vorprüfung zur Feststellung der UVP-Pflicht für das</w:t>
      </w:r>
    </w:p>
    <w:p w14:paraId="11475152" w14:textId="6A31384B" w:rsidR="00FA6A73" w:rsidRPr="00770F8A" w:rsidRDefault="00FA6A73" w:rsidP="00FA6A73">
      <w:pPr>
        <w:jc w:val="center"/>
        <w:rPr>
          <w:b/>
        </w:rPr>
      </w:pPr>
      <w:r w:rsidRPr="00770F8A">
        <w:rPr>
          <w:b/>
        </w:rPr>
        <w:t>Vorhaben „</w:t>
      </w:r>
      <w:proofErr w:type="spellStart"/>
      <w:r w:rsidR="00A33568" w:rsidRPr="00770F8A">
        <w:rPr>
          <w:b/>
        </w:rPr>
        <w:fldChar w:fldCharType="begin"/>
      </w:r>
      <w:r w:rsidR="00A33568" w:rsidRPr="00770F8A">
        <w:rPr>
          <w:b/>
        </w:rPr>
        <w:instrText xml:space="preserve"> LINK VISLink @VISLink "Dokument(Betreff)@4,betreff,10000,0@$%&amp;VIS_D&amp;%$@0000000046162607@DC00AF1D-C857-4131-A01C-6646F439E70A@$%&amp; " \r \a \* CHARFORMAT \* MERGEFORMAT </w:instrText>
      </w:r>
      <w:r w:rsidR="00A33568" w:rsidRPr="00770F8A">
        <w:rPr>
          <w:b/>
        </w:rPr>
        <w:fldChar w:fldCharType="separate"/>
      </w:r>
      <w:r w:rsidR="008E5959" w:rsidRPr="008E5959">
        <w:rPr>
          <w:b/>
        </w:rPr>
        <w:t>Flöha</w:t>
      </w:r>
      <w:proofErr w:type="spellEnd"/>
      <w:r w:rsidR="008E5959" w:rsidRPr="008E5959">
        <w:rPr>
          <w:b/>
        </w:rPr>
        <w:t xml:space="preserve">, Rückbau Wehr </w:t>
      </w:r>
      <w:proofErr w:type="spellStart"/>
      <w:r w:rsidR="008E5959" w:rsidRPr="008E5959">
        <w:rPr>
          <w:b/>
        </w:rPr>
        <w:t>Rauenstein</w:t>
      </w:r>
      <w:proofErr w:type="spellEnd"/>
      <w:r w:rsidR="008E5959" w:rsidRPr="008E5959">
        <w:rPr>
          <w:b/>
        </w:rPr>
        <w:t xml:space="preserve"> II</w:t>
      </w:r>
      <w:r w:rsidR="00A33568" w:rsidRPr="00770F8A">
        <w:rPr>
          <w:b/>
        </w:rPr>
        <w:fldChar w:fldCharType="end"/>
      </w:r>
      <w:r w:rsidR="00A33568" w:rsidRPr="00770F8A">
        <w:rPr>
          <w:b/>
        </w:rPr>
        <w:t>“</w:t>
      </w:r>
    </w:p>
    <w:p w14:paraId="64594101" w14:textId="751308C7" w:rsidR="00C66CA0" w:rsidRPr="00351456" w:rsidRDefault="00FA6A73" w:rsidP="00C66CA0">
      <w:pPr>
        <w:jc w:val="center"/>
        <w:rPr>
          <w:szCs w:val="22"/>
        </w:rPr>
      </w:pPr>
      <w:r w:rsidRPr="00C66CA0">
        <w:rPr>
          <w:b/>
          <w:szCs w:val="22"/>
        </w:rPr>
        <w:t>Gz</w:t>
      </w:r>
      <w:r w:rsidRPr="00E56E52">
        <w:rPr>
          <w:b/>
        </w:rPr>
        <w:t xml:space="preserve">.: </w:t>
      </w:r>
      <w:r w:rsidR="00A27D70">
        <w:rPr>
          <w:b/>
          <w:szCs w:val="22"/>
        </w:rPr>
        <w:t>C46-0522/1670</w:t>
      </w:r>
      <w:r w:rsidR="00A42920">
        <w:rPr>
          <w:b/>
          <w:szCs w:val="22"/>
        </w:rPr>
        <w:t>/</w:t>
      </w:r>
      <w:r w:rsidR="00DC1DDC">
        <w:rPr>
          <w:b/>
          <w:szCs w:val="22"/>
        </w:rPr>
        <w:t>6</w:t>
      </w:r>
    </w:p>
    <w:p w14:paraId="78076DDC" w14:textId="70650A6C" w:rsidR="00FA6A73" w:rsidRPr="00FA6A73" w:rsidRDefault="00FA6A73" w:rsidP="00FA6A73">
      <w:pPr>
        <w:jc w:val="center"/>
        <w:rPr>
          <w:b/>
        </w:rPr>
      </w:pPr>
    </w:p>
    <w:p w14:paraId="570B0B2A" w14:textId="7080B3D0" w:rsidR="00FA6A73" w:rsidRDefault="00DC2396" w:rsidP="00FA6A73">
      <w:pPr>
        <w:spacing w:after="240"/>
        <w:jc w:val="center"/>
        <w:rPr>
          <w:b/>
        </w:rPr>
      </w:pPr>
      <w:r>
        <w:rPr>
          <w:b/>
        </w:rPr>
        <w:t>v</w:t>
      </w:r>
      <w:r w:rsidR="00FA6A73" w:rsidRPr="00307FE4">
        <w:rPr>
          <w:b/>
        </w:rPr>
        <w:t xml:space="preserve">om </w:t>
      </w:r>
      <w:r w:rsidR="00A3630B">
        <w:rPr>
          <w:b/>
        </w:rPr>
        <w:t>3</w:t>
      </w:r>
      <w:r w:rsidR="00A27D70">
        <w:rPr>
          <w:b/>
        </w:rPr>
        <w:t>. Juli</w:t>
      </w:r>
      <w:r w:rsidR="00C22D53">
        <w:rPr>
          <w:b/>
        </w:rPr>
        <w:t xml:space="preserve"> 2025</w:t>
      </w:r>
    </w:p>
    <w:p w14:paraId="5DB83867" w14:textId="22B2DE02" w:rsidR="00FA6A73" w:rsidRDefault="00800C9B" w:rsidP="00FA6A73">
      <w:pPr>
        <w:spacing w:after="240"/>
        <w:ind w:firstLine="426"/>
        <w:jc w:val="both"/>
        <w:rPr>
          <w:rFonts w:cs="Arial"/>
          <w:szCs w:val="22"/>
        </w:rPr>
      </w:pPr>
      <w:r>
        <w:t>Diese Bekanntgabe erfolgt gemäß</w:t>
      </w:r>
      <w:r w:rsidRPr="00D515ED">
        <w:rPr>
          <w:rFonts w:cs="Arial"/>
          <w:szCs w:val="22"/>
        </w:rPr>
        <w:t xml:space="preserve"> </w:t>
      </w:r>
      <w:r w:rsidR="00FA6A73" w:rsidRPr="00D515ED">
        <w:rPr>
          <w:rFonts w:cs="Arial"/>
          <w:szCs w:val="22"/>
        </w:rPr>
        <w:t xml:space="preserve">§ </w:t>
      </w:r>
      <w:r w:rsidR="00FA6A73">
        <w:rPr>
          <w:rFonts w:cs="Arial"/>
          <w:szCs w:val="22"/>
        </w:rPr>
        <w:t>5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Abs</w:t>
      </w:r>
      <w:r w:rsidR="00FA6A73" w:rsidRPr="00D515ED">
        <w:rPr>
          <w:rFonts w:cs="Arial"/>
          <w:szCs w:val="22"/>
        </w:rPr>
        <w:t>atz 2</w:t>
      </w:r>
      <w:r>
        <w:rPr>
          <w:rFonts w:cs="Arial"/>
          <w:szCs w:val="22"/>
        </w:rPr>
        <w:t xml:space="preserve"> Sätze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1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 xml:space="preserve">bis 3 </w:t>
      </w:r>
      <w:r w:rsidR="00FA6A73" w:rsidRPr="00D515ED">
        <w:rPr>
          <w:rFonts w:cs="Arial"/>
          <w:szCs w:val="22"/>
        </w:rPr>
        <w:t xml:space="preserve">des Gesetzes über die Umweltverträglichkeitsprüfung in der Fassung der Bekanntmachung vom </w:t>
      </w:r>
      <w:r w:rsidR="00FA6A73" w:rsidRPr="00830913">
        <w:rPr>
          <w:rFonts w:cs="Arial"/>
          <w:szCs w:val="22"/>
        </w:rPr>
        <w:t>18. März 2021</w:t>
      </w:r>
      <w:r w:rsidR="00FA6A73" w:rsidRPr="00D515ED">
        <w:rPr>
          <w:rFonts w:cs="Arial"/>
          <w:szCs w:val="22"/>
        </w:rPr>
        <w:t xml:space="preserve"> </w:t>
      </w:r>
      <w:r w:rsidR="00FA6A73">
        <w:rPr>
          <w:rFonts w:cs="Arial"/>
          <w:szCs w:val="22"/>
        </w:rPr>
        <w:t>(BGBl. I S. 540</w:t>
      </w:r>
      <w:r w:rsidR="00FA6A73" w:rsidRPr="00D515ED">
        <w:rPr>
          <w:rFonts w:cs="Arial"/>
          <w:szCs w:val="22"/>
        </w:rPr>
        <w:t xml:space="preserve">), </w:t>
      </w:r>
      <w:r w:rsidR="00FA6A73" w:rsidRPr="00830913">
        <w:rPr>
          <w:rFonts w:cs="Arial"/>
          <w:szCs w:val="22"/>
        </w:rPr>
        <w:t xml:space="preserve">das </w:t>
      </w:r>
      <w:r w:rsidR="00C22D53">
        <w:t xml:space="preserve">zuletzt durch Artikel 10 des Gesetzes vom 23. Oktober 2024 (BGBl. 2024 I Nr. 323) geändert </w:t>
      </w:r>
      <w:r w:rsidR="00666BD5">
        <w:rPr>
          <w:rFonts w:cs="Arial"/>
          <w:szCs w:val="22"/>
        </w:rPr>
        <w:t>worden ist.</w:t>
      </w:r>
    </w:p>
    <w:p w14:paraId="62DACE63" w14:textId="0F038E38" w:rsidR="00C66CA0" w:rsidRDefault="00FA6A73" w:rsidP="00C66CA0">
      <w:pPr>
        <w:pStyle w:val="1LDSStandardBlockNach12pt"/>
      </w:pPr>
      <w:r>
        <w:t xml:space="preserve">Die </w:t>
      </w:r>
      <w:r w:rsidR="00DC2396">
        <w:rPr>
          <w:szCs w:val="22"/>
        </w:rPr>
        <w:t xml:space="preserve">Landestalsperrenverwaltung </w:t>
      </w:r>
      <w:r>
        <w:t>beantragte</w:t>
      </w:r>
      <w:r w:rsidRPr="00AD04B5">
        <w:t xml:space="preserve"> mit Schreiben vom</w:t>
      </w:r>
      <w:r w:rsidR="00A33568">
        <w:t xml:space="preserve"> </w:t>
      </w:r>
      <w:r w:rsidR="00DC2396">
        <w:t>25. Februar 2025</w:t>
      </w:r>
      <w:r w:rsidR="00C66CA0" w:rsidRPr="003A38F3">
        <w:rPr>
          <w:szCs w:val="22"/>
        </w:rPr>
        <w:t xml:space="preserve"> </w:t>
      </w:r>
      <w:r w:rsidRPr="00AD04B5">
        <w:t xml:space="preserve">bei der Landesdirektion Sachsen die Prüfung, ob für das </w:t>
      </w:r>
      <w:r w:rsidRPr="00D01142">
        <w:t>Vorhaben „</w:t>
      </w:r>
      <w:r w:rsidR="00DC2396">
        <w:t>Flöha, Rückbau</w:t>
      </w:r>
      <w:r w:rsidR="00DC2396" w:rsidRPr="00DC2396">
        <w:t xml:space="preserve"> Wehr Rauenstein</w:t>
      </w:r>
      <w:r w:rsidR="00DC2396">
        <w:t> </w:t>
      </w:r>
      <w:r w:rsidR="00DC2396" w:rsidRPr="00DC2396">
        <w:t>II</w:t>
      </w:r>
      <w:r w:rsidR="00C66CA0" w:rsidRPr="00DC2396">
        <w:t>“</w:t>
      </w:r>
      <w:r w:rsidRPr="00D01142">
        <w:t xml:space="preserve"> </w:t>
      </w:r>
      <w:r w:rsidR="00C66CA0" w:rsidRPr="00D01142">
        <w:t>die Durchführung eines Planfeststellungsverfahrens</w:t>
      </w:r>
      <w:r w:rsidR="00C66CA0">
        <w:t xml:space="preserve"> entbehrlich ist.</w:t>
      </w:r>
    </w:p>
    <w:p w14:paraId="064071E0" w14:textId="47F114AF" w:rsidR="00666BD5" w:rsidRPr="00D344E9" w:rsidRDefault="00666BD5" w:rsidP="00C66CA0">
      <w:pPr>
        <w:pStyle w:val="1LDSStandardBlockNach12pt"/>
      </w:pPr>
      <w:r w:rsidRPr="00D344E9">
        <w:t xml:space="preserve">Das </w:t>
      </w:r>
      <w:r w:rsidRPr="00A42920">
        <w:t xml:space="preserve">Vorhaben </w:t>
      </w:r>
      <w:r w:rsidR="00C66CA0" w:rsidRPr="00A42920">
        <w:t>„</w:t>
      </w:r>
      <w:r w:rsidR="00DC2396">
        <w:t>Flöha, Rückbau</w:t>
      </w:r>
      <w:r w:rsidR="00DC2396" w:rsidRPr="00DC2396">
        <w:t xml:space="preserve"> Wehr Rauenstein</w:t>
      </w:r>
      <w:r w:rsidR="00DC2396">
        <w:t> </w:t>
      </w:r>
      <w:r w:rsidR="00DC2396" w:rsidRPr="00DC2396">
        <w:t>II</w:t>
      </w:r>
      <w:r w:rsidR="00DC2396">
        <w:t xml:space="preserve">“ </w:t>
      </w:r>
      <w:r w:rsidRPr="00A42920">
        <w:t>fällt</w:t>
      </w:r>
      <w:r w:rsidRPr="00D344E9">
        <w:t xml:space="preserve"> in den Anwendungsbereich des Gesetzes über die Umweltverträglichkeitsprüfung. Dementsprechend hat die Landesdirektion Sachsen eine</w:t>
      </w:r>
      <w:r w:rsidR="00351456">
        <w:t xml:space="preserve"> allgemeine</w:t>
      </w:r>
      <w:r w:rsidRPr="00D344E9">
        <w:t xml:space="preserve"> Vorprüfung des Einzelfalls vorgenommen.</w:t>
      </w:r>
    </w:p>
    <w:p w14:paraId="715D5F09" w14:textId="6F090B62" w:rsidR="00666BD5" w:rsidRDefault="00666BD5" w:rsidP="00666BD5">
      <w:pPr>
        <w:spacing w:after="240"/>
        <w:ind w:firstLine="426"/>
        <w:jc w:val="both"/>
      </w:pPr>
      <w:r w:rsidRPr="00E721DA">
        <w:t xml:space="preserve">Im Rahmen dieser Vorprüfung wurde am </w:t>
      </w:r>
      <w:r w:rsidR="00DC2396">
        <w:t>24. Juni</w:t>
      </w:r>
      <w:r w:rsidR="00C22D53">
        <w:t xml:space="preserve"> 2025</w:t>
      </w:r>
      <w:r>
        <w:t xml:space="preserve"> 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Zulassungsentscheidung zu berücksichtigen wären. Für diese Einschätzung </w:t>
      </w:r>
      <w:r w:rsidRPr="00A4585B">
        <w:t>sind folgende</w:t>
      </w:r>
      <w:r w:rsidR="008E27A6" w:rsidRPr="00A4585B">
        <w:t xml:space="preserve"> wesentliche Gründe</w:t>
      </w:r>
      <w:r w:rsidRPr="00A4585B">
        <w:t xml:space="preserve"> </w:t>
      </w:r>
      <w:r w:rsidRPr="00326CA9">
        <w:t>maßgebend:</w:t>
      </w:r>
    </w:p>
    <w:p w14:paraId="2613D31C" w14:textId="37FC8FD7" w:rsidR="00B41F22" w:rsidRPr="00C80B62" w:rsidRDefault="00B41F22" w:rsidP="00C80B62">
      <w:pPr>
        <w:pStyle w:val="AufgezhltStriche"/>
      </w:pPr>
      <w:r w:rsidRPr="00C80B62">
        <w:t>die unerhebliche Größe und Ausgestaltung des gesamten V</w:t>
      </w:r>
      <w:r w:rsidR="002E2CA6">
        <w:t>orhabens und der Abrissarbeiten</w:t>
      </w:r>
    </w:p>
    <w:p w14:paraId="61968FF1" w14:textId="47404639" w:rsidR="00B41F22" w:rsidRPr="00C80B62" w:rsidRDefault="00B41F22" w:rsidP="00C80B62">
      <w:pPr>
        <w:pStyle w:val="AufgezhltStriche"/>
      </w:pPr>
      <w:r w:rsidRPr="00C80B62">
        <w:t>die unerhebliche Nutzung natürlicher Ressourcen, insbesondere Fläche, Boden, Wasser, Tiere, Pf</w:t>
      </w:r>
      <w:r w:rsidR="002E2CA6">
        <w:t>lanzen und biologische Vielfalt</w:t>
      </w:r>
    </w:p>
    <w:p w14:paraId="681D0849" w14:textId="6CF864BA" w:rsidR="00B41F22" w:rsidRDefault="00B41F22" w:rsidP="00C80B62">
      <w:pPr>
        <w:pStyle w:val="AufgezhltStriche"/>
      </w:pPr>
      <w:r w:rsidRPr="00C80B62">
        <w:t>die Belastbarkeit der Schutzgüter unter besonderer Berücksichtigung folgender Gebiete und von Art und Umfang des ihnen jeweils zugewiesenen Schutzes (Schutzkriterien):</w:t>
      </w:r>
    </w:p>
    <w:p w14:paraId="59D9BDEF" w14:textId="67126CD6" w:rsidR="00DC2396" w:rsidRPr="00DC2396" w:rsidRDefault="00662D1E" w:rsidP="00662D1E">
      <w:pPr>
        <w:pStyle w:val="Aufgezhlt"/>
      </w:pPr>
      <w:r>
        <w:rPr>
          <w:szCs w:val="22"/>
        </w:rPr>
        <w:t>FFH-Gebiet</w:t>
      </w:r>
      <w:r w:rsidR="00BD40AA" w:rsidRPr="00662D1E">
        <w:rPr>
          <w:szCs w:val="22"/>
        </w:rPr>
        <w:t xml:space="preserve"> und </w:t>
      </w:r>
      <w:r>
        <w:rPr>
          <w:szCs w:val="22"/>
        </w:rPr>
        <w:t>SPA-Gebiet</w:t>
      </w:r>
    </w:p>
    <w:p w14:paraId="532FFE94" w14:textId="518F41FD" w:rsidR="00DC2396" w:rsidRPr="00DC2396" w:rsidRDefault="00662D1E" w:rsidP="00DC2396">
      <w:pPr>
        <w:pStyle w:val="Aufgezhlt"/>
      </w:pPr>
      <w:r>
        <w:rPr>
          <w:szCs w:val="22"/>
        </w:rPr>
        <w:t>Landschaftsschutzgebiet</w:t>
      </w:r>
      <w:r w:rsidR="00DC2396">
        <w:rPr>
          <w:szCs w:val="22"/>
        </w:rPr>
        <w:t xml:space="preserve"> und Biotope</w:t>
      </w:r>
    </w:p>
    <w:p w14:paraId="00352C96" w14:textId="00313816" w:rsidR="00DC2396" w:rsidRDefault="00662D1E" w:rsidP="00DC2396">
      <w:pPr>
        <w:pStyle w:val="Aufgezhlt"/>
      </w:pPr>
      <w:r>
        <w:t>Überschwemmungsgebiet</w:t>
      </w:r>
    </w:p>
    <w:p w14:paraId="21EF73C4" w14:textId="16BF5182" w:rsidR="00B41F22" w:rsidRDefault="00662D1E" w:rsidP="00C80B62">
      <w:pPr>
        <w:pStyle w:val="Aufgezhlt"/>
      </w:pPr>
      <w:r>
        <w:t>Gebiet</w:t>
      </w:r>
      <w:r w:rsidR="00D344E9" w:rsidRPr="00C80B62">
        <w:t xml:space="preserve">, in denen die in Vorschriften der Europäischen Union festgelegten Umweltqualitätsnormen bereits überschritten sind </w:t>
      </w:r>
    </w:p>
    <w:p w14:paraId="756D9291" w14:textId="14FC0C9D" w:rsidR="00D344E9" w:rsidRDefault="00D344E9" w:rsidP="00D344E9">
      <w:pPr>
        <w:pStyle w:val="AufgezhltStriche"/>
      </w:pPr>
      <w:r w:rsidRPr="0017150A">
        <w:t>die unerhebliche Schwere u</w:t>
      </w:r>
      <w:r w:rsidR="002E2CA6">
        <w:t>nd Komplexität der Auswirkungen</w:t>
      </w:r>
    </w:p>
    <w:p w14:paraId="20686975" w14:textId="77777777" w:rsidR="00D344E9" w:rsidRDefault="00D344E9" w:rsidP="00D344E9">
      <w:pPr>
        <w:spacing w:after="240"/>
        <w:ind w:firstLine="635"/>
        <w:jc w:val="both"/>
      </w:pPr>
      <w:r w:rsidRPr="00DD121D">
        <w:t>Für die Entscheidung, dass für das Vorhaben keine Pflicht zur Durchführung einer Umweltverträglichkeitsprüfung besteht, sind die folgenden Merkmale des Vorhabens oder des Standorts maßgebend:</w:t>
      </w:r>
    </w:p>
    <w:p w14:paraId="60A27B94" w14:textId="5AE0D733" w:rsidR="004B4E5C" w:rsidRDefault="004B4E5C" w:rsidP="00C80B62">
      <w:pPr>
        <w:pStyle w:val="AufgezhltStriche"/>
      </w:pPr>
      <w:r w:rsidRPr="00C80B62">
        <w:t>Kleinräumigkeit des Vorhabens (</w:t>
      </w:r>
      <w:r w:rsidR="00A42920" w:rsidRPr="009156C6">
        <w:t>Länge</w:t>
      </w:r>
      <w:r w:rsidR="00C66CA0" w:rsidRPr="009156C6">
        <w:t xml:space="preserve"> von </w:t>
      </w:r>
      <w:r w:rsidR="00C22D53" w:rsidRPr="009156C6">
        <w:t xml:space="preserve">ca. </w:t>
      </w:r>
      <w:r w:rsidR="00DC2396" w:rsidRPr="009156C6">
        <w:t>200</w:t>
      </w:r>
      <w:r w:rsidR="00A42920" w:rsidRPr="009156C6">
        <w:t xml:space="preserve"> m</w:t>
      </w:r>
      <w:r w:rsidR="00DC2396" w:rsidRPr="009156C6">
        <w:t>, Fläche von ca. 3.500 m²</w:t>
      </w:r>
      <w:r w:rsidR="002E2CA6">
        <w:t>)</w:t>
      </w:r>
    </w:p>
    <w:p w14:paraId="1F69B289" w14:textId="77777777" w:rsidR="009156C6" w:rsidRDefault="009156C6" w:rsidP="005278F5">
      <w:pPr>
        <w:pStyle w:val="AufgezhltStriche"/>
      </w:pPr>
      <w:r w:rsidRPr="009156C6">
        <w:t>Verbesserung der Durchgängigkeit und Gewässerstruktur</w:t>
      </w:r>
      <w:r w:rsidRPr="00A10A34">
        <w:t xml:space="preserve"> </w:t>
      </w:r>
    </w:p>
    <w:p w14:paraId="5AD1707C" w14:textId="65559609" w:rsidR="000E6B2D" w:rsidRPr="000E6B2D" w:rsidRDefault="000E6B2D" w:rsidP="000E6B2D">
      <w:pPr>
        <w:spacing w:after="240"/>
        <w:ind w:firstLine="635"/>
        <w:jc w:val="both"/>
      </w:pPr>
      <w:r w:rsidRPr="00A10A34">
        <w:lastRenderedPageBreak/>
        <w:t>Darüber hinaus sind folgende Vorkehrungen für die Einschätzung maßgebend:</w:t>
      </w:r>
    </w:p>
    <w:p w14:paraId="2FD5209C" w14:textId="11543334" w:rsidR="000E6B2D" w:rsidRPr="00C80B62" w:rsidRDefault="000E6B2D" w:rsidP="00C80B62">
      <w:pPr>
        <w:pStyle w:val="AufgezhltStriche"/>
      </w:pPr>
      <w:r w:rsidRPr="00C80B62">
        <w:t>bauzeitlicher Schutz des Gewässers und des Bodens vor Verunreinigungen</w:t>
      </w:r>
      <w:r w:rsidR="002E2CA6">
        <w:t xml:space="preserve"> mit wassergefährdenden Stoffen</w:t>
      </w:r>
    </w:p>
    <w:p w14:paraId="2A6C62B3" w14:textId="77777777" w:rsidR="00B41F22" w:rsidRPr="00B41F22" w:rsidRDefault="00C80B62" w:rsidP="00C80B62">
      <w:pPr>
        <w:spacing w:after="240"/>
        <w:ind w:firstLine="635"/>
        <w:jc w:val="both"/>
      </w:pPr>
      <w:r w:rsidRPr="00C363B0">
        <w:t>Diese Feststellung ist nicht selbstständig anfechtbar</w:t>
      </w:r>
      <w:r w:rsidR="00E54BFF">
        <w:t>.</w:t>
      </w:r>
    </w:p>
    <w:p w14:paraId="24BBD959" w14:textId="77777777" w:rsidR="000540D8" w:rsidRPr="00C80B62" w:rsidRDefault="000540D8" w:rsidP="000540D8">
      <w:pPr>
        <w:spacing w:after="240"/>
        <w:ind w:firstLine="635"/>
        <w:jc w:val="both"/>
      </w:pPr>
      <w:r>
        <w:t>Die Bekanntmachung</w:t>
      </w:r>
      <w:r w:rsidRPr="00C80B62">
        <w:t xml:space="preserve"> ist </w:t>
      </w:r>
      <w:r>
        <w:t xml:space="preserve">auf der Internetseite der Landesdirektion Sachsen unter </w:t>
      </w:r>
      <w:hyperlink r:id="rId5" w:history="1">
        <w:r w:rsidRPr="00477CA8">
          <w:rPr>
            <w:rStyle w:val="Hyperlink"/>
          </w:rPr>
          <w:t>http://www.lds.sachsen.de/bekanntmachung</w:t>
        </w:r>
      </w:hyperlink>
      <w:r>
        <w:t xml:space="preserve"> einsehbar.</w:t>
      </w:r>
    </w:p>
    <w:p w14:paraId="7F87BFF6" w14:textId="0A3361ED" w:rsidR="00FA6A73" w:rsidRDefault="00FA6A73" w:rsidP="00C80B62">
      <w:r>
        <w:t xml:space="preserve">Chemnitz, den </w:t>
      </w:r>
      <w:r w:rsidR="005438DF">
        <w:t>3</w:t>
      </w:r>
      <w:r w:rsidR="009156C6">
        <w:t>. Juli</w:t>
      </w:r>
      <w:r w:rsidR="00C22D53">
        <w:t xml:space="preserve"> 2025</w:t>
      </w:r>
    </w:p>
    <w:p w14:paraId="15DC4C43" w14:textId="77777777" w:rsidR="00E54BFF" w:rsidRPr="0092772C" w:rsidRDefault="00E54BFF" w:rsidP="00C80B62">
      <w:pPr>
        <w:rPr>
          <w:b/>
        </w:rPr>
      </w:pPr>
    </w:p>
    <w:p w14:paraId="3F665E9D" w14:textId="77777777" w:rsidR="00FA6A73" w:rsidRDefault="00FA6A73" w:rsidP="00525C55">
      <w:pPr>
        <w:pStyle w:val="Listenabsatz"/>
        <w:ind w:left="360"/>
        <w:jc w:val="center"/>
      </w:pPr>
      <w:r w:rsidRPr="00D515ED">
        <w:t>Landesdirektion Sachsen</w:t>
      </w:r>
    </w:p>
    <w:p w14:paraId="55487052" w14:textId="77777777" w:rsidR="00D02D27" w:rsidRPr="00F65F05" w:rsidRDefault="00525C55" w:rsidP="00525C55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5709D7F9" w14:textId="77777777" w:rsidR="00D02D27" w:rsidRPr="006D1521" w:rsidRDefault="00A8116E" w:rsidP="00525C55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sectPr w:rsidR="00D02D27" w:rsidRPr="006D1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5011"/>
    <w:multiLevelType w:val="hybridMultilevel"/>
    <w:tmpl w:val="4358E81E"/>
    <w:lvl w:ilvl="0" w:tplc="779C250A">
      <w:start w:val="1"/>
      <w:numFmt w:val="bullet"/>
      <w:pStyle w:val="AufgezhltStrich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B95CED"/>
    <w:multiLevelType w:val="hybridMultilevel"/>
    <w:tmpl w:val="C94E3B00"/>
    <w:lvl w:ilvl="0" w:tplc="A15A977A">
      <w:numFmt w:val="bullet"/>
      <w:lvlText w:val="-"/>
      <w:lvlJc w:val="left"/>
      <w:pPr>
        <w:ind w:left="99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390C3CE8"/>
    <w:multiLevelType w:val="hybridMultilevel"/>
    <w:tmpl w:val="39FCD16A"/>
    <w:lvl w:ilvl="0" w:tplc="80B65F22">
      <w:start w:val="1"/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136669C"/>
    <w:multiLevelType w:val="hybridMultilevel"/>
    <w:tmpl w:val="8178812C"/>
    <w:lvl w:ilvl="0" w:tplc="76589D06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B0D8D"/>
    <w:multiLevelType w:val="hybridMultilevel"/>
    <w:tmpl w:val="C250F3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F3643"/>
    <w:multiLevelType w:val="hybridMultilevel"/>
    <w:tmpl w:val="6466033E"/>
    <w:lvl w:ilvl="0" w:tplc="D708F62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8267D7"/>
    <w:multiLevelType w:val="hybridMultilevel"/>
    <w:tmpl w:val="644E724E"/>
    <w:lvl w:ilvl="0" w:tplc="8280E330">
      <w:start w:val="1"/>
      <w:numFmt w:val="bullet"/>
      <w:pStyle w:val="Aufgezh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64E6"/>
    <w:multiLevelType w:val="hybridMultilevel"/>
    <w:tmpl w:val="0F92D5E8"/>
    <w:lvl w:ilvl="0" w:tplc="5A6EAAB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7"/>
  </w:num>
  <w:num w:numId="18">
    <w:abstractNumId w:val="3"/>
  </w:num>
  <w:num w:numId="19">
    <w:abstractNumId w:val="7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83"/>
    <w:rsid w:val="000540D8"/>
    <w:rsid w:val="00072FE0"/>
    <w:rsid w:val="000A0D83"/>
    <w:rsid w:val="000B75D4"/>
    <w:rsid w:val="000E6B2D"/>
    <w:rsid w:val="001035F1"/>
    <w:rsid w:val="001367EF"/>
    <w:rsid w:val="001A428E"/>
    <w:rsid w:val="001C07F1"/>
    <w:rsid w:val="002161C6"/>
    <w:rsid w:val="00217506"/>
    <w:rsid w:val="0023751C"/>
    <w:rsid w:val="002443DB"/>
    <w:rsid w:val="00291838"/>
    <w:rsid w:val="002E2CA6"/>
    <w:rsid w:val="002F43D8"/>
    <w:rsid w:val="00351456"/>
    <w:rsid w:val="003B2A8F"/>
    <w:rsid w:val="003D0CB1"/>
    <w:rsid w:val="003E06A3"/>
    <w:rsid w:val="00477911"/>
    <w:rsid w:val="004B4E5C"/>
    <w:rsid w:val="00511513"/>
    <w:rsid w:val="005246C6"/>
    <w:rsid w:val="00524C64"/>
    <w:rsid w:val="00525C55"/>
    <w:rsid w:val="00526202"/>
    <w:rsid w:val="005278F5"/>
    <w:rsid w:val="005438DF"/>
    <w:rsid w:val="00575F56"/>
    <w:rsid w:val="0065046C"/>
    <w:rsid w:val="00662D1E"/>
    <w:rsid w:val="00666BD5"/>
    <w:rsid w:val="00677C60"/>
    <w:rsid w:val="00730A1C"/>
    <w:rsid w:val="007400B5"/>
    <w:rsid w:val="00741A28"/>
    <w:rsid w:val="00770F8A"/>
    <w:rsid w:val="00800C9B"/>
    <w:rsid w:val="00847A7E"/>
    <w:rsid w:val="008D62E6"/>
    <w:rsid w:val="008E27A6"/>
    <w:rsid w:val="008E511F"/>
    <w:rsid w:val="008E5959"/>
    <w:rsid w:val="009156C6"/>
    <w:rsid w:val="00924674"/>
    <w:rsid w:val="00947C35"/>
    <w:rsid w:val="009917CA"/>
    <w:rsid w:val="009D4039"/>
    <w:rsid w:val="009F5C87"/>
    <w:rsid w:val="00A27D70"/>
    <w:rsid w:val="00A33568"/>
    <w:rsid w:val="00A3630B"/>
    <w:rsid w:val="00A42920"/>
    <w:rsid w:val="00A4585B"/>
    <w:rsid w:val="00A61B6F"/>
    <w:rsid w:val="00A8116E"/>
    <w:rsid w:val="00AA6166"/>
    <w:rsid w:val="00AB46B8"/>
    <w:rsid w:val="00AE48D3"/>
    <w:rsid w:val="00B27D38"/>
    <w:rsid w:val="00B41F22"/>
    <w:rsid w:val="00BD40AA"/>
    <w:rsid w:val="00BD4CBD"/>
    <w:rsid w:val="00BF7EE7"/>
    <w:rsid w:val="00C22D53"/>
    <w:rsid w:val="00C66CA0"/>
    <w:rsid w:val="00C80B62"/>
    <w:rsid w:val="00CF71A4"/>
    <w:rsid w:val="00D01142"/>
    <w:rsid w:val="00D02D27"/>
    <w:rsid w:val="00D05668"/>
    <w:rsid w:val="00D311FA"/>
    <w:rsid w:val="00D344E9"/>
    <w:rsid w:val="00D572CA"/>
    <w:rsid w:val="00DC1DDC"/>
    <w:rsid w:val="00DC2396"/>
    <w:rsid w:val="00E54BFF"/>
    <w:rsid w:val="00E90C1A"/>
    <w:rsid w:val="00EE701F"/>
    <w:rsid w:val="00F20DF6"/>
    <w:rsid w:val="00F34527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5181"/>
  <w15:chartTrackingRefBased/>
  <w15:docId w15:val="{6F9363D3-EDE7-44B3-9C03-04366CE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A7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BlockNach12pt">
    <w:name w:val="1_LDS Standard Block Nach: 12 pt"/>
    <w:basedOn w:val="Standard"/>
    <w:link w:val="1LDSStandardBlockNach12ptZchn"/>
    <w:rsid w:val="00FA6A73"/>
    <w:pPr>
      <w:spacing w:after="240"/>
      <w:jc w:val="both"/>
    </w:pPr>
    <w:rPr>
      <w:szCs w:val="20"/>
    </w:rPr>
  </w:style>
  <w:style w:type="character" w:customStyle="1" w:styleId="1LDSStandardBlockNach12ptZchn">
    <w:name w:val="1_LDS Standard Block Nach: 12 pt Zchn"/>
    <w:link w:val="1LDSStandardBlockNach12pt"/>
    <w:rsid w:val="00FA6A73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A6A73"/>
    <w:pPr>
      <w:ind w:left="720"/>
      <w:contextualSpacing/>
    </w:pPr>
  </w:style>
  <w:style w:type="paragraph" w:styleId="Textkrper">
    <w:name w:val="Body Text"/>
    <w:basedOn w:val="Standard"/>
    <w:link w:val="TextkrperZchn"/>
    <w:rsid w:val="00FA6A73"/>
    <w:pPr>
      <w:jc w:val="both"/>
    </w:pPr>
    <w:rPr>
      <w:rFonts w:cs="Arial"/>
      <w:b/>
      <w:szCs w:val="22"/>
    </w:rPr>
  </w:style>
  <w:style w:type="character" w:customStyle="1" w:styleId="TextkrperZchn">
    <w:name w:val="Textkörper Zchn"/>
    <w:basedOn w:val="Absatz-Standardschriftart"/>
    <w:link w:val="Textkrper"/>
    <w:rsid w:val="00FA6A73"/>
    <w:rPr>
      <w:rFonts w:ascii="Arial" w:eastAsia="Times New Roman" w:hAnsi="Arial" w:cs="Arial"/>
      <w:b/>
      <w:lang w:eastAsia="de-DE"/>
    </w:rPr>
  </w:style>
  <w:style w:type="paragraph" w:customStyle="1" w:styleId="Aufgezhlt">
    <w:name w:val="Aufgezählt"/>
    <w:aliases w:val="linksbündig,Blocksatz"/>
    <w:basedOn w:val="Standard"/>
    <w:qFormat/>
    <w:rsid w:val="00C80B62"/>
    <w:pPr>
      <w:numPr>
        <w:numId w:val="3"/>
      </w:numPr>
      <w:spacing w:after="240"/>
      <w:jc w:val="both"/>
    </w:pPr>
    <w:rPr>
      <w:szCs w:val="20"/>
    </w:rPr>
  </w:style>
  <w:style w:type="paragraph" w:customStyle="1" w:styleId="AufgezhltStriche">
    <w:name w:val="Aufgezählt Striche"/>
    <w:basedOn w:val="Aufgezhlt"/>
    <w:qFormat/>
    <w:rsid w:val="00C80B62"/>
    <w:pPr>
      <w:numPr>
        <w:numId w:val="7"/>
      </w:numPr>
    </w:pPr>
  </w:style>
  <w:style w:type="character" w:styleId="Hyperlink">
    <w:name w:val="Hyperlink"/>
    <w:uiPriority w:val="99"/>
    <w:rsid w:val="00C80B62"/>
    <w:rPr>
      <w:rFonts w:ascii="Arial" w:hAnsi="Arial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s.sachsen.de/bekanntmach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Ines - LDS</dc:creator>
  <cp:keywords/>
  <dc:description/>
  <cp:lastModifiedBy>Winter, Ines - LDS</cp:lastModifiedBy>
  <cp:revision>3</cp:revision>
  <cp:lastPrinted>2022-08-15T07:02:00Z</cp:lastPrinted>
  <dcterms:created xsi:type="dcterms:W3CDTF">2025-07-04T05:27:00Z</dcterms:created>
  <dcterms:modified xsi:type="dcterms:W3CDTF">2025-07-04T05:29:00Z</dcterms:modified>
</cp:coreProperties>
</file>