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F7CD" w14:textId="77777777" w:rsidR="00A07307" w:rsidRPr="00A07307" w:rsidRDefault="00A07307" w:rsidP="00A07307">
      <w:pPr>
        <w:jc w:val="center"/>
        <w:rPr>
          <w:b/>
        </w:rPr>
      </w:pPr>
      <w:bookmarkStart w:id="0" w:name="_GoBack"/>
      <w:bookmarkEnd w:id="0"/>
      <w:r w:rsidRPr="00A07307">
        <w:rPr>
          <w:b/>
        </w:rPr>
        <w:t>Bekanntgabe</w:t>
      </w:r>
    </w:p>
    <w:p w14:paraId="43BC29A5" w14:textId="77777777" w:rsidR="00A07307" w:rsidRPr="00A07307" w:rsidRDefault="00A07307" w:rsidP="00A07307">
      <w:pPr>
        <w:jc w:val="center"/>
        <w:rPr>
          <w:b/>
        </w:rPr>
      </w:pPr>
      <w:r w:rsidRPr="00A07307">
        <w:rPr>
          <w:b/>
        </w:rPr>
        <w:t>der Landesdirektion Sachsen</w:t>
      </w:r>
    </w:p>
    <w:p w14:paraId="2496854C" w14:textId="77777777" w:rsidR="00A07307" w:rsidRPr="00A07307" w:rsidRDefault="00A07307" w:rsidP="00A07307">
      <w:pPr>
        <w:jc w:val="center"/>
        <w:rPr>
          <w:b/>
        </w:rPr>
      </w:pPr>
      <w:r w:rsidRPr="00A07307">
        <w:rPr>
          <w:b/>
        </w:rPr>
        <w:t>nach § 5 Absatz 2 des Gesetzes über die Umweltverträglichkeitsprüfung</w:t>
      </w:r>
    </w:p>
    <w:p w14:paraId="6F08E58A" w14:textId="66276B3A" w:rsidR="0063635C" w:rsidRDefault="00855CA4" w:rsidP="00A07307">
      <w:pPr>
        <w:jc w:val="center"/>
        <w:rPr>
          <w:b/>
        </w:rPr>
      </w:pPr>
      <w:r>
        <w:rPr>
          <w:b/>
        </w:rPr>
        <w:t>für das Vorhaben</w:t>
      </w:r>
    </w:p>
    <w:p w14:paraId="3D846CBB" w14:textId="38FD789D" w:rsidR="00A07307" w:rsidRPr="0063635C" w:rsidRDefault="00A07307" w:rsidP="00A07307">
      <w:pPr>
        <w:jc w:val="center"/>
        <w:rPr>
          <w:b/>
          <w:szCs w:val="22"/>
        </w:rPr>
      </w:pPr>
      <w:r w:rsidRPr="0063635C">
        <w:rPr>
          <w:b/>
          <w:szCs w:val="22"/>
        </w:rPr>
        <w:t>„</w:t>
      </w:r>
      <w:r w:rsidR="0063635C" w:rsidRPr="0063635C">
        <w:rPr>
          <w:rFonts w:cs="Arial"/>
          <w:b/>
          <w:szCs w:val="22"/>
        </w:rPr>
        <w:t>Rekonstruktion der Gleisbrücke 976 der Anschlussbahn BOE-01 in Böhlen“</w:t>
      </w:r>
    </w:p>
    <w:p w14:paraId="1C4C1DA6" w14:textId="5F0AFC60" w:rsidR="00A07307" w:rsidRPr="00A07307" w:rsidRDefault="00A07307" w:rsidP="00A07307">
      <w:pPr>
        <w:spacing w:after="240"/>
        <w:jc w:val="center"/>
        <w:rPr>
          <w:b/>
        </w:rPr>
      </w:pPr>
      <w:r w:rsidRPr="00A07307">
        <w:rPr>
          <w:b/>
        </w:rPr>
        <w:t xml:space="preserve">Gz.: </w:t>
      </w:r>
      <w:r w:rsidR="0063635C" w:rsidRPr="0063635C">
        <w:rPr>
          <w:b/>
        </w:rPr>
        <w:t>32-0522/1762/3</w:t>
      </w:r>
    </w:p>
    <w:p w14:paraId="2F1A295F" w14:textId="30BEAD43" w:rsidR="00A07307" w:rsidRPr="00A07307" w:rsidRDefault="00855CA4" w:rsidP="00A07307">
      <w:pPr>
        <w:spacing w:after="240"/>
        <w:jc w:val="center"/>
        <w:rPr>
          <w:b/>
        </w:rPr>
      </w:pPr>
      <w:r>
        <w:rPr>
          <w:b/>
        </w:rPr>
        <w:t>Vom 8</w:t>
      </w:r>
      <w:r w:rsidR="0063635C">
        <w:rPr>
          <w:b/>
        </w:rPr>
        <w:t>. August 2025</w:t>
      </w:r>
    </w:p>
    <w:p w14:paraId="19B1E09B" w14:textId="5E56842E" w:rsidR="00A07307" w:rsidRPr="00A07307" w:rsidRDefault="00A07307" w:rsidP="00A07307">
      <w:pPr>
        <w:spacing w:after="240"/>
        <w:ind w:firstLine="567"/>
      </w:pPr>
      <w:r w:rsidRPr="00A07307">
        <w:t xml:space="preserve">Diese Bekanntgabe erfolgt gemäß § 5 Absatz 2 Sätze 1 bis 3 des Gesetzes über die Umweltverträglichkeitsprüfung in der Fassung der Bekanntmachung vom </w:t>
      </w:r>
      <w:r w:rsidR="00227D86" w:rsidRPr="00B80A97">
        <w:t>18. März 2021</w:t>
      </w:r>
      <w:r w:rsidRPr="00A07307">
        <w:t xml:space="preserve"> (BGBl. I S. </w:t>
      </w:r>
      <w:r w:rsidR="00227D86" w:rsidRPr="00B80A97">
        <w:t>540</w:t>
      </w:r>
      <w:r w:rsidRPr="00A07307">
        <w:t>)</w:t>
      </w:r>
      <w:r w:rsidR="00855CA4">
        <w:t>,</w:t>
      </w:r>
      <w:r w:rsidR="0063635C" w:rsidRPr="0063635C">
        <w:rPr>
          <w:rFonts w:cs="Arial"/>
          <w:color w:val="313131"/>
          <w:sz w:val="21"/>
          <w:szCs w:val="21"/>
          <w:shd w:val="clear" w:color="auto" w:fill="FEFEFE"/>
        </w:rPr>
        <w:t xml:space="preserve"> </w:t>
      </w:r>
      <w:r w:rsidR="0063635C" w:rsidRPr="0063635C">
        <w:t>das zuletzt durch Artikel 10 des Gesetzes v</w:t>
      </w:r>
      <w:r w:rsidR="0063635C">
        <w:t>om 23. Oktober 2024 (BGBl. I Nr. </w:t>
      </w:r>
      <w:r w:rsidR="0063635C" w:rsidRPr="0063635C">
        <w:t>323) geändert worden ist.</w:t>
      </w:r>
    </w:p>
    <w:p w14:paraId="58024B89" w14:textId="0430CBAF" w:rsidR="00A07307" w:rsidRPr="001604C3" w:rsidRDefault="0063635C" w:rsidP="001604C3">
      <w:pPr>
        <w:spacing w:before="240" w:after="240"/>
        <w:ind w:firstLine="567"/>
        <w:rPr>
          <w:rFonts w:cs="Arial"/>
          <w:bCs/>
          <w:szCs w:val="22"/>
        </w:rPr>
      </w:pPr>
      <w:r>
        <w:t xml:space="preserve">Die Dow Olefinverbund GmbH </w:t>
      </w:r>
      <w:r w:rsidR="00A07307" w:rsidRPr="00A07307">
        <w:t>hat bei der Landesdirekt</w:t>
      </w:r>
      <w:r>
        <w:t>ion Sachse</w:t>
      </w:r>
      <w:r w:rsidR="00855CA4">
        <w:t xml:space="preserve">n </w:t>
      </w:r>
      <w:r w:rsidR="00A07307" w:rsidRPr="00A07307">
        <w:rPr>
          <w:rFonts w:cs="Arial"/>
          <w:szCs w:val="22"/>
        </w:rPr>
        <w:t>die Feststellung beantragt, ob für das Vorhaben eine Verpflichtung zur Durchführung einer Umweltverträglichkeitsprüfung besteht.</w:t>
      </w:r>
      <w:r w:rsidR="001604C3">
        <w:rPr>
          <w:rFonts w:cs="Arial"/>
          <w:bCs/>
          <w:szCs w:val="22"/>
        </w:rPr>
        <w:t xml:space="preserve"> Das Vorhaben zur </w:t>
      </w:r>
      <w:r w:rsidR="00213869">
        <w:rPr>
          <w:rFonts w:cs="Arial"/>
          <w:bCs/>
          <w:szCs w:val="22"/>
        </w:rPr>
        <w:t xml:space="preserve">Streckensanierung und </w:t>
      </w:r>
      <w:r w:rsidR="001604C3">
        <w:rPr>
          <w:rFonts w:cs="Arial"/>
          <w:bCs/>
          <w:szCs w:val="22"/>
        </w:rPr>
        <w:t>Rekonstruktion der Gleisbrücke 976 umfasst die Errichtung von Be</w:t>
      </w:r>
      <w:r w:rsidR="00164CB8">
        <w:rPr>
          <w:rFonts w:cs="Arial"/>
          <w:bCs/>
          <w:szCs w:val="22"/>
        </w:rPr>
        <w:t>helfsstützen, die Modifizierung</w:t>
      </w:r>
      <w:r w:rsidR="001604C3">
        <w:rPr>
          <w:rFonts w:cs="Arial"/>
          <w:bCs/>
          <w:szCs w:val="22"/>
        </w:rPr>
        <w:t xml:space="preserve"> von Brückenpfeilern und deren Gründungen, den</w:t>
      </w:r>
      <w:r w:rsidR="001604C3" w:rsidRPr="001604C3">
        <w:rPr>
          <w:rFonts w:cs="Arial"/>
          <w:sz w:val="21"/>
          <w:szCs w:val="21"/>
        </w:rPr>
        <w:t xml:space="preserve"> </w:t>
      </w:r>
      <w:r w:rsidR="001604C3" w:rsidRPr="001604C3">
        <w:rPr>
          <w:rFonts w:cs="Arial"/>
          <w:bCs/>
          <w:szCs w:val="22"/>
        </w:rPr>
        <w:t xml:space="preserve">Austausch und </w:t>
      </w:r>
      <w:r w:rsidR="00164CB8">
        <w:rPr>
          <w:rFonts w:cs="Arial"/>
          <w:bCs/>
          <w:szCs w:val="22"/>
        </w:rPr>
        <w:t>Modifizierung</w:t>
      </w:r>
      <w:r w:rsidR="001604C3" w:rsidRPr="001604C3">
        <w:rPr>
          <w:rFonts w:cs="Arial"/>
          <w:bCs/>
          <w:szCs w:val="22"/>
        </w:rPr>
        <w:t xml:space="preserve"> von Überbauten vers</w:t>
      </w:r>
      <w:r w:rsidR="001604C3">
        <w:rPr>
          <w:rFonts w:cs="Arial"/>
          <w:bCs/>
          <w:szCs w:val="22"/>
        </w:rPr>
        <w:t xml:space="preserve">chiedener Ingenieurbauwerke der </w:t>
      </w:r>
      <w:r w:rsidR="001604C3" w:rsidRPr="001604C3">
        <w:rPr>
          <w:rFonts w:cs="Arial"/>
          <w:bCs/>
          <w:szCs w:val="22"/>
        </w:rPr>
        <w:t>Eisenbahnüberführung sowie die Anpassung und Neuerrichtung von</w:t>
      </w:r>
      <w:r w:rsidR="001604C3">
        <w:rPr>
          <w:rFonts w:cs="Arial"/>
          <w:bCs/>
          <w:szCs w:val="22"/>
        </w:rPr>
        <w:t xml:space="preserve"> </w:t>
      </w:r>
      <w:r w:rsidR="001604C3" w:rsidRPr="001604C3">
        <w:rPr>
          <w:rFonts w:cs="Arial"/>
          <w:bCs/>
          <w:szCs w:val="22"/>
        </w:rPr>
        <w:t>Gleisentwässerungsanlagen.</w:t>
      </w:r>
    </w:p>
    <w:p w14:paraId="6B18AD92" w14:textId="4481C2CF" w:rsidR="00A07307" w:rsidRPr="00A07307" w:rsidRDefault="00A07307" w:rsidP="00A07307">
      <w:pPr>
        <w:spacing w:before="240" w:after="240"/>
        <w:ind w:firstLine="567"/>
      </w:pPr>
      <w:r w:rsidRPr="00A07307">
        <w:t>Das Vorhaben</w:t>
      </w:r>
      <w:r w:rsidRPr="001604C3">
        <w:t xml:space="preserve"> „</w:t>
      </w:r>
      <w:r w:rsidR="001604C3" w:rsidRPr="001604C3">
        <w:rPr>
          <w:rFonts w:cs="Arial"/>
          <w:szCs w:val="22"/>
        </w:rPr>
        <w:t>Rekonstruktion der Gleisbrücke 976 der Anschlussbahn BOE-01 in Böhlen</w:t>
      </w:r>
      <w:r w:rsidR="00B5719C" w:rsidRPr="001604C3">
        <w:t>“</w:t>
      </w:r>
      <w:r w:rsidRPr="001604C3">
        <w:t xml:space="preserve"> </w:t>
      </w:r>
      <w:r w:rsidRPr="00A07307">
        <w:t>fällt in den Anwendungsbereich des Gesetzes über die Umweltverträglichkeitsprüfung. Dementsprechend hat die Landesd</w:t>
      </w:r>
      <w:r w:rsidR="001604C3">
        <w:t>irektion Sachsen eine standortbezogene Vorprüfung</w:t>
      </w:r>
      <w:r w:rsidRPr="00A07307">
        <w:t xml:space="preserve"> </w:t>
      </w:r>
      <w:r w:rsidR="00B2604D">
        <w:t xml:space="preserve">des Einzelfalles </w:t>
      </w:r>
      <w:r w:rsidRPr="00A07307">
        <w:t>vorgenommen.</w:t>
      </w:r>
    </w:p>
    <w:p w14:paraId="28310A26" w14:textId="1F8E8D8C" w:rsidR="00CC13AD" w:rsidRDefault="00A07307" w:rsidP="00632BD8">
      <w:pPr>
        <w:spacing w:before="240" w:after="240"/>
        <w:ind w:firstLine="567"/>
      </w:pPr>
      <w:r w:rsidRPr="00A07307">
        <w:t xml:space="preserve">Im Rahmen dieser Vorprüfung wurde am </w:t>
      </w:r>
      <w:r w:rsidR="00855CA4">
        <w:t>6</w:t>
      </w:r>
      <w:r w:rsidR="00B2604D">
        <w:t>. August 2025</w:t>
      </w:r>
      <w:r w:rsidR="00B5719C" w:rsidRPr="00B5719C">
        <w:t xml:space="preserve"> </w:t>
      </w:r>
      <w:r w:rsidRPr="00A07307">
        <w:t xml:space="preserve">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w:t>
      </w:r>
    </w:p>
    <w:p w14:paraId="1BD8E577" w14:textId="39E3CB95" w:rsidR="00A07307" w:rsidRPr="00213869" w:rsidRDefault="00343AEE" w:rsidP="00213869">
      <w:pPr>
        <w:spacing w:before="240" w:after="240"/>
        <w:ind w:firstLine="567"/>
      </w:pPr>
      <w:r w:rsidRPr="00946204">
        <w:t xml:space="preserve">Für diese Einschätzung ist im Wesentlichen die </w:t>
      </w:r>
      <w:r w:rsidR="00B2604D">
        <w:t xml:space="preserve">punktuelle und </w:t>
      </w:r>
      <w:r w:rsidRPr="00946204">
        <w:t xml:space="preserve">unerhebliche Größe </w:t>
      </w:r>
      <w:r w:rsidR="00B2604D">
        <w:t>und</w:t>
      </w:r>
      <w:r w:rsidRPr="00946204">
        <w:t xml:space="preserve"> Ausgestaltung des Vorhabens</w:t>
      </w:r>
      <w:r w:rsidR="00632BD8">
        <w:t>, die Reversibilität von baubedingten Auswirkungen</w:t>
      </w:r>
      <w:r w:rsidRPr="00105A82">
        <w:t xml:space="preserve">, die </w:t>
      </w:r>
      <w:r w:rsidR="00946204" w:rsidRPr="00105A82">
        <w:t xml:space="preserve">vorwiegende Beanspruchung von </w:t>
      </w:r>
      <w:r w:rsidR="00213869" w:rsidRPr="00105A82">
        <w:t>bahn</w:t>
      </w:r>
      <w:r w:rsidR="00946204" w:rsidRPr="00105A82">
        <w:t>nahe</w:t>
      </w:r>
      <w:r w:rsidR="00632BD8" w:rsidRPr="00105A82">
        <w:t>r</w:t>
      </w:r>
      <w:r w:rsidR="00946204" w:rsidRPr="00105A82">
        <w:t xml:space="preserve"> Flächen mit </w:t>
      </w:r>
      <w:r w:rsidRPr="00105A82">
        <w:t>geringe</w:t>
      </w:r>
      <w:r w:rsidR="00946204" w:rsidRPr="00105A82">
        <w:t>r bis mittlerer</w:t>
      </w:r>
      <w:r w:rsidRPr="00105A82">
        <w:t xml:space="preserve"> naturschutzfachliche Qualität sowie die räumliche Entfernung zu natürlichen Fließ- und Standgewässer</w:t>
      </w:r>
      <w:r w:rsidR="00855CA4">
        <w:t>n</w:t>
      </w:r>
      <w:r w:rsidRPr="00105A82">
        <w:t xml:space="preserve"> maßgebend. </w:t>
      </w:r>
      <w:r w:rsidR="00632BD8" w:rsidRPr="00213869">
        <w:t xml:space="preserve">Des Weiteren </w:t>
      </w:r>
      <w:r w:rsidR="00213869" w:rsidRPr="00213869">
        <w:t xml:space="preserve">ist </w:t>
      </w:r>
      <w:r w:rsidR="00896804" w:rsidRPr="00213869">
        <w:t xml:space="preserve">aufgrund der räumlichen Entfernung zu den </w:t>
      </w:r>
      <w:r w:rsidR="00A00453" w:rsidRPr="00213869">
        <w:t>Landschaftsschutzgebiet</w:t>
      </w:r>
      <w:r w:rsidR="00896804" w:rsidRPr="00213869">
        <w:t>en</w:t>
      </w:r>
      <w:r w:rsidR="00A00453" w:rsidRPr="00213869">
        <w:t xml:space="preserve"> „</w:t>
      </w:r>
      <w:r w:rsidR="00896804" w:rsidRPr="00213869">
        <w:rPr>
          <w:szCs w:val="22"/>
        </w:rPr>
        <w:t>Pleißestausee</w:t>
      </w:r>
      <w:r w:rsidR="00896804" w:rsidRPr="00896804">
        <w:rPr>
          <w:szCs w:val="22"/>
        </w:rPr>
        <w:t xml:space="preserve"> Rötha“ und „Elsteraue“</w:t>
      </w:r>
      <w:r w:rsidR="00896804">
        <w:rPr>
          <w:szCs w:val="22"/>
        </w:rPr>
        <w:t xml:space="preserve"> </w:t>
      </w:r>
      <w:r w:rsidR="00213869">
        <w:rPr>
          <w:szCs w:val="22"/>
        </w:rPr>
        <w:t xml:space="preserve">mit </w:t>
      </w:r>
      <w:r w:rsidR="00896804">
        <w:rPr>
          <w:szCs w:val="22"/>
        </w:rPr>
        <w:t>keine</w:t>
      </w:r>
      <w:r w:rsidR="00213869">
        <w:rPr>
          <w:szCs w:val="22"/>
        </w:rPr>
        <w:t>n</w:t>
      </w:r>
      <w:r w:rsidR="00896804">
        <w:rPr>
          <w:szCs w:val="22"/>
        </w:rPr>
        <w:t xml:space="preserve"> erhebliche</w:t>
      </w:r>
      <w:r w:rsidR="00213869">
        <w:rPr>
          <w:szCs w:val="22"/>
        </w:rPr>
        <w:t>n</w:t>
      </w:r>
      <w:r w:rsidR="00896804">
        <w:rPr>
          <w:szCs w:val="22"/>
        </w:rPr>
        <w:t xml:space="preserve"> nachteiligen Umweltauswirkun</w:t>
      </w:r>
      <w:r w:rsidR="00213869">
        <w:rPr>
          <w:szCs w:val="22"/>
        </w:rPr>
        <w:t>gen auf diese Schutzgebiete zu rechne</w:t>
      </w:r>
      <w:r w:rsidR="00213869" w:rsidRPr="00213869">
        <w:rPr>
          <w:szCs w:val="22"/>
        </w:rPr>
        <w:t>n</w:t>
      </w:r>
      <w:r w:rsidR="00A00453" w:rsidRPr="00213869">
        <w:t>.</w:t>
      </w:r>
      <w:r w:rsidR="00946204" w:rsidRPr="00213869">
        <w:t xml:space="preserve"> </w:t>
      </w:r>
      <w:r w:rsidR="00632BD8" w:rsidRPr="00213869">
        <w:t xml:space="preserve">Darüber hinaus </w:t>
      </w:r>
      <w:r w:rsidR="00213869" w:rsidRPr="00213869">
        <w:t xml:space="preserve">kann </w:t>
      </w:r>
      <w:r w:rsidR="00946204" w:rsidRPr="00213869">
        <w:t>aufgrund von Art, Intensität und Reichweite des Vorhabens ausgeschl</w:t>
      </w:r>
      <w:r w:rsidR="00213869" w:rsidRPr="00213869">
        <w:t>ossen werden kann, dass vorhaben</w:t>
      </w:r>
      <w:r w:rsidR="00946204" w:rsidRPr="00213869">
        <w:t xml:space="preserve">bedingte Beeinträchtigungen in das </w:t>
      </w:r>
      <w:r w:rsidR="00213869" w:rsidRPr="00213869">
        <w:t>SPA-Gebiet „Rückhaltebecken Stöhna“ (DE 4740-451), das SPA-Gebiet „Elsteraue bei Groitzsch“ (DE 4739-451) und in das FFH-Gebiet „FFH Elsteraue südlich Zwenkau“ (DE 4739-302) einwirken</w:t>
      </w:r>
      <w:r w:rsidR="00946204" w:rsidRPr="00213869">
        <w:t xml:space="preserve">. </w:t>
      </w:r>
    </w:p>
    <w:p w14:paraId="58617431" w14:textId="181947CD" w:rsidR="00A07307" w:rsidRPr="00B2604D" w:rsidRDefault="00A07307" w:rsidP="00DB2CB3">
      <w:pPr>
        <w:spacing w:before="240" w:after="240"/>
        <w:ind w:firstLine="567"/>
        <w:rPr>
          <w:highlight w:val="yellow"/>
        </w:rPr>
      </w:pPr>
      <w:r w:rsidRPr="00B2604D">
        <w:t>Für die Entscheidung, dass für das Vorhaben keine Pflicht zur Durchführung einer Umweltvertr</w:t>
      </w:r>
      <w:r w:rsidR="00DB2CB3" w:rsidRPr="00B2604D">
        <w:t>äglichkeitsprüfung besteht, ist auch maßgebend, dass</w:t>
      </w:r>
      <w:r w:rsidR="00B2604D">
        <w:t xml:space="preserve"> </w:t>
      </w:r>
      <w:r w:rsidR="000B1902">
        <w:t>das Vorhaben als Rekonstruktion der Eisenbahnüberführung auf bestehender Bahninfrastruktur im Bereich des Industriegebietes Böhlen-Lippendorf umgesetzt wird</w:t>
      </w:r>
      <w:r w:rsidR="00105A82">
        <w:t xml:space="preserve"> und keine wesentliche Änderung im Sinne der 16. BImSchV vorliegt</w:t>
      </w:r>
      <w:r w:rsidR="000B1902">
        <w:t>.</w:t>
      </w:r>
    </w:p>
    <w:p w14:paraId="53035098" w14:textId="77777777" w:rsidR="00A07307" w:rsidRPr="000B1902" w:rsidRDefault="00A07307" w:rsidP="00A07307">
      <w:pPr>
        <w:spacing w:before="240" w:after="240"/>
        <w:ind w:firstLine="567"/>
      </w:pPr>
      <w:r w:rsidRPr="000B1902">
        <w:t>Darüber hinaus sind folgende Vorkehrungen für diese Einschätzung maßgebend:</w:t>
      </w:r>
    </w:p>
    <w:p w14:paraId="52FC9BB2" w14:textId="2A02F0A3" w:rsidR="000B1902" w:rsidRPr="000B1902" w:rsidRDefault="00A07307" w:rsidP="000B1902">
      <w:pPr>
        <w:tabs>
          <w:tab w:val="left" w:pos="284"/>
        </w:tabs>
        <w:ind w:left="851" w:hanging="284"/>
      </w:pPr>
      <w:r w:rsidRPr="000B1902">
        <w:t>-</w:t>
      </w:r>
      <w:r w:rsidRPr="000B1902">
        <w:tab/>
      </w:r>
      <w:r w:rsidR="000B1902" w:rsidRPr="000B1902">
        <w:t>umweltfachliche Bauüberwachung,</w:t>
      </w:r>
    </w:p>
    <w:p w14:paraId="1F0D1214" w14:textId="5D585B69" w:rsidR="000B1902" w:rsidRPr="000B1902" w:rsidRDefault="00A07307" w:rsidP="000B1902">
      <w:pPr>
        <w:tabs>
          <w:tab w:val="left" w:pos="284"/>
        </w:tabs>
        <w:ind w:left="851" w:hanging="284"/>
      </w:pPr>
      <w:r w:rsidRPr="000B1902">
        <w:t>-</w:t>
      </w:r>
      <w:r w:rsidRPr="000B1902">
        <w:tab/>
      </w:r>
      <w:r w:rsidR="000B1902" w:rsidRPr="000B1902">
        <w:t>Reduzierung der Baustelleneinrichtungsflächen auf ein Mindestmaß,</w:t>
      </w:r>
    </w:p>
    <w:p w14:paraId="3AB56D03" w14:textId="2B5BC71B" w:rsidR="000B1902" w:rsidRPr="000B1902" w:rsidRDefault="000B1902" w:rsidP="000B1902">
      <w:pPr>
        <w:pStyle w:val="Listenabsatz"/>
        <w:numPr>
          <w:ilvl w:val="0"/>
          <w:numId w:val="2"/>
        </w:numPr>
        <w:ind w:left="851" w:hanging="284"/>
      </w:pPr>
      <w:r w:rsidRPr="000B1902">
        <w:lastRenderedPageBreak/>
        <w:t>Beseitigung vorhandener Gehölz- und Vegetationsbestände außerhalb der Vegetations- und Brutzeit,</w:t>
      </w:r>
    </w:p>
    <w:p w14:paraId="139A7697" w14:textId="425FB27F" w:rsidR="00632BD8" w:rsidRPr="000B1902" w:rsidRDefault="000B1902" w:rsidP="00191C77">
      <w:pPr>
        <w:pStyle w:val="Listenabsatz"/>
        <w:numPr>
          <w:ilvl w:val="0"/>
          <w:numId w:val="2"/>
        </w:numPr>
        <w:tabs>
          <w:tab w:val="left" w:pos="284"/>
        </w:tabs>
        <w:ind w:left="851" w:hanging="284"/>
        <w:contextualSpacing w:val="0"/>
      </w:pPr>
      <w:r w:rsidRPr="000B1902">
        <w:t>Bautabuzonen</w:t>
      </w:r>
      <w:r w:rsidR="00855CA4">
        <w:t>,</w:t>
      </w:r>
    </w:p>
    <w:p w14:paraId="79BFE2AF" w14:textId="612D3889" w:rsidR="00632BD8" w:rsidRPr="000B1902" w:rsidRDefault="000B1902" w:rsidP="00191C77">
      <w:pPr>
        <w:pStyle w:val="Listenabsatz"/>
        <w:numPr>
          <w:ilvl w:val="0"/>
          <w:numId w:val="2"/>
        </w:numPr>
        <w:tabs>
          <w:tab w:val="left" w:pos="284"/>
        </w:tabs>
        <w:ind w:left="851" w:hanging="284"/>
        <w:contextualSpacing w:val="0"/>
      </w:pPr>
      <w:r w:rsidRPr="000B1902">
        <w:t>Schutzzäune für Amphibien und Reptilien</w:t>
      </w:r>
      <w:r w:rsidR="00191C77" w:rsidRPr="000B1902">
        <w:t>,</w:t>
      </w:r>
    </w:p>
    <w:p w14:paraId="032C569E" w14:textId="13849325" w:rsidR="00632BD8" w:rsidRPr="00896804" w:rsidRDefault="00855CA4" w:rsidP="00191C77">
      <w:pPr>
        <w:pStyle w:val="Listenabsatz"/>
        <w:numPr>
          <w:ilvl w:val="0"/>
          <w:numId w:val="2"/>
        </w:numPr>
        <w:tabs>
          <w:tab w:val="left" w:pos="284"/>
        </w:tabs>
        <w:ind w:left="851" w:hanging="284"/>
        <w:contextualSpacing w:val="0"/>
      </w:pPr>
      <w:r>
        <w:t>b</w:t>
      </w:r>
      <w:r w:rsidR="00896804" w:rsidRPr="00896804">
        <w:t>odenschonender Umgang und fachgerechte Abfallentsorgung</w:t>
      </w:r>
      <w:r w:rsidR="00191C77" w:rsidRPr="00896804">
        <w:t>,</w:t>
      </w:r>
    </w:p>
    <w:p w14:paraId="6CF5A4CF" w14:textId="6B7A8AD2" w:rsidR="00632BD8" w:rsidRPr="00896804" w:rsidRDefault="00896804" w:rsidP="00191C77">
      <w:pPr>
        <w:pStyle w:val="Listenabsatz"/>
        <w:numPr>
          <w:ilvl w:val="0"/>
          <w:numId w:val="2"/>
        </w:numPr>
        <w:tabs>
          <w:tab w:val="left" w:pos="284"/>
        </w:tabs>
        <w:ind w:left="851" w:hanging="284"/>
        <w:contextualSpacing w:val="0"/>
      </w:pPr>
      <w:r w:rsidRPr="00896804">
        <w:t>Schutz des Bodens und Grundwassers vor Schadstoffeintrag und Verschmutzung</w:t>
      </w:r>
      <w:r w:rsidR="00191C77" w:rsidRPr="00896804">
        <w:t>,</w:t>
      </w:r>
    </w:p>
    <w:p w14:paraId="65481FF0" w14:textId="6E2C77EC" w:rsidR="00227D86" w:rsidRPr="00896804" w:rsidRDefault="00896804" w:rsidP="00896804">
      <w:pPr>
        <w:pStyle w:val="Listenabsatz"/>
        <w:numPr>
          <w:ilvl w:val="0"/>
          <w:numId w:val="2"/>
        </w:numPr>
        <w:tabs>
          <w:tab w:val="left" w:pos="284"/>
        </w:tabs>
        <w:ind w:left="851" w:hanging="284"/>
        <w:contextualSpacing w:val="0"/>
      </w:pPr>
      <w:r w:rsidRPr="00896804">
        <w:t>Einsatz von geräusch- und erschütterungsarmer Bauverfahren und Maschinen,</w:t>
      </w:r>
    </w:p>
    <w:p w14:paraId="0D4A10E4" w14:textId="55B2276C" w:rsidR="00227D86" w:rsidRPr="00896804" w:rsidRDefault="00896804" w:rsidP="00191C77">
      <w:pPr>
        <w:pStyle w:val="Listenabsatz"/>
        <w:numPr>
          <w:ilvl w:val="0"/>
          <w:numId w:val="2"/>
        </w:numPr>
        <w:tabs>
          <w:tab w:val="left" w:pos="284"/>
        </w:tabs>
        <w:ind w:left="851" w:hanging="284"/>
        <w:contextualSpacing w:val="0"/>
      </w:pPr>
      <w:r w:rsidRPr="00896804">
        <w:t>Schutz und Erhalt angrenzender Gehölze und Biotope und</w:t>
      </w:r>
    </w:p>
    <w:p w14:paraId="6F643EF5" w14:textId="42C3726A" w:rsidR="00227D86" w:rsidRPr="00896804" w:rsidRDefault="00227D86" w:rsidP="00896804">
      <w:pPr>
        <w:pStyle w:val="Listenabsatz"/>
        <w:numPr>
          <w:ilvl w:val="0"/>
          <w:numId w:val="2"/>
        </w:numPr>
        <w:tabs>
          <w:tab w:val="left" w:pos="284"/>
        </w:tabs>
        <w:ind w:left="851" w:hanging="284"/>
        <w:contextualSpacing w:val="0"/>
      </w:pPr>
      <w:r w:rsidRPr="00896804">
        <w:t>Baum- und Wurzelschutzmaßnahme</w:t>
      </w:r>
      <w:r w:rsidR="00896804" w:rsidRPr="00896804">
        <w:t>n</w:t>
      </w:r>
      <w:r w:rsidR="00191C77" w:rsidRPr="00896804">
        <w:t>.</w:t>
      </w:r>
    </w:p>
    <w:p w14:paraId="6B6EE811" w14:textId="77777777" w:rsidR="00A07307" w:rsidRPr="00A07307" w:rsidRDefault="00A07307" w:rsidP="00A07307">
      <w:pPr>
        <w:spacing w:before="240" w:after="240"/>
        <w:ind w:firstLine="567"/>
      </w:pPr>
      <w:r w:rsidRPr="00A07307">
        <w:t>Diese Feststellung ist nicht selbstständig anfechtbar.</w:t>
      </w:r>
    </w:p>
    <w:p w14:paraId="18C9C552" w14:textId="13D954AE" w:rsidR="00A07307" w:rsidRPr="00A07307" w:rsidRDefault="00A07307" w:rsidP="00A07307">
      <w:pPr>
        <w:spacing w:before="240" w:after="240"/>
        <w:ind w:firstLine="567"/>
      </w:pPr>
      <w:r w:rsidRPr="00A07307">
        <w:t xml:space="preserve">Die entscheidungsrelevanten Unterlagen sind der Öffentlichkeit in der Landesdirektion Sachsen, Referat 32, </w:t>
      </w:r>
      <w:r w:rsidR="00B2604D">
        <w:rPr>
          <w:rFonts w:cs="Arial"/>
          <w:szCs w:val="22"/>
        </w:rPr>
        <w:t>Olbrichtplatz 1</w:t>
      </w:r>
      <w:r w:rsidRPr="00A07307">
        <w:rPr>
          <w:rFonts w:cs="Arial"/>
          <w:szCs w:val="22"/>
        </w:rPr>
        <w:t xml:space="preserve">, 01099 Dresden </w:t>
      </w:r>
      <w:r w:rsidRPr="00A07307">
        <w:t>zugänglich.</w:t>
      </w:r>
    </w:p>
    <w:p w14:paraId="0FA3990F" w14:textId="059AF7D4" w:rsidR="00A07307" w:rsidRPr="00A07307" w:rsidRDefault="00A07307" w:rsidP="00A07307">
      <w:pPr>
        <w:spacing w:before="240" w:after="240"/>
        <w:ind w:firstLine="567"/>
        <w:rPr>
          <w:rFonts w:cs="Arial"/>
          <w:szCs w:val="22"/>
        </w:rPr>
      </w:pPr>
      <w:r w:rsidRPr="00A07307">
        <w:rPr>
          <w:rFonts w:cs="Arial"/>
          <w:color w:val="000000"/>
          <w:szCs w:val="22"/>
        </w:rPr>
        <w:t xml:space="preserve">Die Bekanntgabe ist auf der Internetseite der Landesdirektion Sachsen unter </w:t>
      </w:r>
      <w:r w:rsidRPr="00A07307">
        <w:rPr>
          <w:rFonts w:cs="Arial"/>
          <w:color w:val="000000"/>
          <w:szCs w:val="22"/>
          <w:u w:val="single"/>
        </w:rPr>
        <w:t>http://www.lds.sachsen.de/bekanntmachung</w:t>
      </w:r>
      <w:r w:rsidRPr="00A07307">
        <w:rPr>
          <w:rFonts w:cs="Arial"/>
          <w:color w:val="000000"/>
          <w:szCs w:val="22"/>
        </w:rPr>
        <w:t xml:space="preserve"> unter der Rubrik </w:t>
      </w:r>
      <w:r w:rsidRPr="00227D86">
        <w:rPr>
          <w:rFonts w:cs="Arial"/>
          <w:szCs w:val="22"/>
        </w:rPr>
        <w:t>Infrastruktur</w:t>
      </w:r>
      <w:r w:rsidRPr="00A07307">
        <w:rPr>
          <w:rFonts w:cs="Arial"/>
          <w:szCs w:val="22"/>
        </w:rPr>
        <w:t xml:space="preserve"> </w:t>
      </w:r>
      <w:r w:rsidR="00B2604D" w:rsidRPr="00B2604D">
        <w:rPr>
          <w:rFonts w:cs="Arial"/>
          <w:szCs w:val="22"/>
        </w:rPr>
        <w:t xml:space="preserve">sowie im UVP-Portal der Länder unter https://www.uvp-verbund.de </w:t>
      </w:r>
      <w:r w:rsidRPr="00A07307">
        <w:rPr>
          <w:rFonts w:cs="Arial"/>
          <w:color w:val="000000"/>
          <w:szCs w:val="22"/>
        </w:rPr>
        <w:t>einsehbar.</w:t>
      </w:r>
    </w:p>
    <w:p w14:paraId="123385C1" w14:textId="1FDBACF9" w:rsidR="00A07307" w:rsidRPr="00A07307" w:rsidRDefault="00855CA4" w:rsidP="00A07307">
      <w:pPr>
        <w:autoSpaceDE w:val="0"/>
        <w:autoSpaceDN w:val="0"/>
        <w:adjustRightInd w:val="0"/>
        <w:spacing w:after="240"/>
      </w:pPr>
      <w:r>
        <w:t>Dresden, den 8</w:t>
      </w:r>
      <w:r w:rsidR="00A07307" w:rsidRPr="00A07307">
        <w:t>.</w:t>
      </w:r>
      <w:r w:rsidR="00191C77">
        <w:t xml:space="preserve"> </w:t>
      </w:r>
      <w:r w:rsidR="00B2604D">
        <w:t>August 2025</w:t>
      </w:r>
    </w:p>
    <w:p w14:paraId="5D9F0485" w14:textId="77777777" w:rsidR="00A07307" w:rsidRPr="00A07307" w:rsidRDefault="00A07307" w:rsidP="00A07307">
      <w:pPr>
        <w:jc w:val="center"/>
      </w:pPr>
      <w:r w:rsidRPr="00A07307">
        <w:t>Landesdirektion Sachsen</w:t>
      </w:r>
    </w:p>
    <w:p w14:paraId="387D4021" w14:textId="49970427" w:rsidR="00A07307" w:rsidRPr="00A07307" w:rsidRDefault="00A07307" w:rsidP="00A07307">
      <w:pPr>
        <w:jc w:val="center"/>
      </w:pPr>
      <w:r w:rsidRPr="00A07307">
        <w:t>Keune</w:t>
      </w:r>
    </w:p>
    <w:p w14:paraId="3811F55A" w14:textId="0B779BF5" w:rsidR="00A07307" w:rsidRPr="00A07307" w:rsidRDefault="00A07307" w:rsidP="00A07307">
      <w:pPr>
        <w:spacing w:after="240"/>
        <w:jc w:val="center"/>
      </w:pPr>
      <w:r w:rsidRPr="00A07307">
        <w:t xml:space="preserve">Referatsleiter </w:t>
      </w:r>
      <w:r w:rsidRPr="00B80A97">
        <w:t>Planfeststellung</w:t>
      </w:r>
    </w:p>
    <w:p w14:paraId="3BA92888" w14:textId="067BDA74" w:rsidR="004D5D4B" w:rsidRPr="00F14BE8" w:rsidRDefault="004D5D4B" w:rsidP="00F14BE8">
      <w:pPr>
        <w:jc w:val="left"/>
        <w:rPr>
          <w:szCs w:val="22"/>
        </w:rPr>
      </w:pPr>
    </w:p>
    <w:sectPr w:rsidR="004D5D4B" w:rsidRPr="00F14BE8" w:rsidSect="005168FC">
      <w:headerReference w:type="default" r:id="rId7"/>
      <w:footerReference w:type="default" r:id="rId8"/>
      <w:headerReference w:type="first" r:id="rId9"/>
      <w:footerReference w:type="first" r:id="rId10"/>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288B" w14:textId="77777777" w:rsidR="00A13A86" w:rsidRDefault="00A13A86">
      <w:r>
        <w:separator/>
      </w:r>
    </w:p>
  </w:endnote>
  <w:endnote w:type="continuationSeparator" w:id="0">
    <w:p w14:paraId="3BA9288C" w14:textId="77777777" w:rsidR="00A13A86" w:rsidRDefault="00A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288E" w14:textId="1D11A1B5" w:rsidR="002A7858" w:rsidRPr="000F18D0" w:rsidRDefault="002A7858"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A330F9">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A330F9">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2890" w14:textId="77777777" w:rsidR="002A7858" w:rsidRDefault="001C5974" w:rsidP="005D7802">
    <w:r>
      <w:rPr>
        <w:noProof/>
      </w:rPr>
      <mc:AlternateContent>
        <mc:Choice Requires="wps">
          <w:drawing>
            <wp:anchor distT="0" distB="0" distL="114300" distR="114300" simplePos="0" relativeHeight="251661312" behindDoc="0" locked="0" layoutInCell="1" allowOverlap="1" wp14:anchorId="3BA92898" wp14:editId="3BA92899">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7E47" id="Line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3BA92891" w14:textId="58DF7C65" w:rsidR="002A7858" w:rsidRDefault="001C5974" w:rsidP="005D7802">
    <w:r>
      <w:rPr>
        <w:noProof/>
      </w:rPr>
      <mc:AlternateContent>
        <mc:Choice Requires="wps">
          <w:drawing>
            <wp:anchor distT="0" distB="0" distL="114300" distR="114300" simplePos="0" relativeHeight="251657216" behindDoc="0" locked="0" layoutInCell="1" allowOverlap="1" wp14:anchorId="3BA9289A" wp14:editId="3BA9289B">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8C0B"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2A7858" w:rsidRPr="00D13B3C">
      <w:t xml:space="preserve">Seite </w:t>
    </w:r>
    <w:r w:rsidR="002A7858" w:rsidRPr="00D13B3C">
      <w:fldChar w:fldCharType="begin"/>
    </w:r>
    <w:r w:rsidR="002A7858" w:rsidRPr="00D13B3C">
      <w:instrText xml:space="preserve"> PAGE </w:instrText>
    </w:r>
    <w:r w:rsidR="002A7858" w:rsidRPr="00D13B3C">
      <w:fldChar w:fldCharType="separate"/>
    </w:r>
    <w:r w:rsidR="00A330F9">
      <w:rPr>
        <w:noProof/>
      </w:rPr>
      <w:t>1</w:t>
    </w:r>
    <w:r w:rsidR="002A7858" w:rsidRPr="00D13B3C">
      <w:fldChar w:fldCharType="end"/>
    </w:r>
    <w:r w:rsidR="002A7858" w:rsidRPr="00D13B3C">
      <w:t xml:space="preserve"> von </w:t>
    </w:r>
    <w:fldSimple w:instr=" NUMPAGES ">
      <w:r w:rsidR="00A330F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2889" w14:textId="77777777" w:rsidR="00A13A86" w:rsidRDefault="00A13A86">
      <w:r>
        <w:separator/>
      </w:r>
    </w:p>
  </w:footnote>
  <w:footnote w:type="continuationSeparator" w:id="0">
    <w:p w14:paraId="3BA9288A" w14:textId="77777777" w:rsidR="00A13A86" w:rsidRDefault="00A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288D" w14:textId="77777777" w:rsidR="002A7858" w:rsidRPr="00B04597" w:rsidRDefault="001C5974"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3BA92892" wp14:editId="3BA92893">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9302EC"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3BA92894" wp14:editId="3BA92895">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D08625"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3BA92896" wp14:editId="3BA92897">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1FA506"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288F" w14:textId="77777777" w:rsidR="002A7858" w:rsidRPr="00A825AD" w:rsidRDefault="002A7858" w:rsidP="00171206">
    <w:pPr>
      <w:jc w:val="center"/>
      <w:rPr>
        <w:b/>
        <w:vanish/>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4F4B39C3"/>
    <w:multiLevelType w:val="hybridMultilevel"/>
    <w:tmpl w:val="75ACDF80"/>
    <w:lvl w:ilvl="0" w:tplc="6B26285E">
      <w:start w:val="13"/>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190E95"/>
    <w:rsid w:val="00003422"/>
    <w:rsid w:val="00010215"/>
    <w:rsid w:val="00011375"/>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1902"/>
    <w:rsid w:val="000B596D"/>
    <w:rsid w:val="000C524A"/>
    <w:rsid w:val="000D16E3"/>
    <w:rsid w:val="000D1BB5"/>
    <w:rsid w:val="000E3DF9"/>
    <w:rsid w:val="000F014E"/>
    <w:rsid w:val="000F0212"/>
    <w:rsid w:val="000F18D0"/>
    <w:rsid w:val="0010503C"/>
    <w:rsid w:val="00105A82"/>
    <w:rsid w:val="00106CEE"/>
    <w:rsid w:val="00112C4D"/>
    <w:rsid w:val="00113C59"/>
    <w:rsid w:val="0011683D"/>
    <w:rsid w:val="00116B9B"/>
    <w:rsid w:val="00125C46"/>
    <w:rsid w:val="00132E46"/>
    <w:rsid w:val="001334BB"/>
    <w:rsid w:val="00133C17"/>
    <w:rsid w:val="00133E41"/>
    <w:rsid w:val="001371BB"/>
    <w:rsid w:val="00140D0D"/>
    <w:rsid w:val="00145D99"/>
    <w:rsid w:val="001464F1"/>
    <w:rsid w:val="00147144"/>
    <w:rsid w:val="001473C9"/>
    <w:rsid w:val="00150B2F"/>
    <w:rsid w:val="00154A04"/>
    <w:rsid w:val="00157433"/>
    <w:rsid w:val="001604C3"/>
    <w:rsid w:val="00161184"/>
    <w:rsid w:val="00164CB8"/>
    <w:rsid w:val="00164EB0"/>
    <w:rsid w:val="00170D59"/>
    <w:rsid w:val="00171206"/>
    <w:rsid w:val="001737B3"/>
    <w:rsid w:val="0017760C"/>
    <w:rsid w:val="0018286F"/>
    <w:rsid w:val="00186849"/>
    <w:rsid w:val="00190E95"/>
    <w:rsid w:val="001912AC"/>
    <w:rsid w:val="00191C77"/>
    <w:rsid w:val="00192327"/>
    <w:rsid w:val="001946B1"/>
    <w:rsid w:val="0019667E"/>
    <w:rsid w:val="001A16A5"/>
    <w:rsid w:val="001A260A"/>
    <w:rsid w:val="001A54C4"/>
    <w:rsid w:val="001A5F4A"/>
    <w:rsid w:val="001A7751"/>
    <w:rsid w:val="001B5778"/>
    <w:rsid w:val="001C3381"/>
    <w:rsid w:val="001C542F"/>
    <w:rsid w:val="001C5974"/>
    <w:rsid w:val="001C6013"/>
    <w:rsid w:val="001C7E2B"/>
    <w:rsid w:val="001D038C"/>
    <w:rsid w:val="001D0CC8"/>
    <w:rsid w:val="001D4EC1"/>
    <w:rsid w:val="001D5A23"/>
    <w:rsid w:val="001E34E0"/>
    <w:rsid w:val="001E4BC6"/>
    <w:rsid w:val="001E55B1"/>
    <w:rsid w:val="001E7B15"/>
    <w:rsid w:val="001F17EB"/>
    <w:rsid w:val="001F385D"/>
    <w:rsid w:val="00202E1C"/>
    <w:rsid w:val="0020391B"/>
    <w:rsid w:val="002058E8"/>
    <w:rsid w:val="002063A4"/>
    <w:rsid w:val="00207B8C"/>
    <w:rsid w:val="00210470"/>
    <w:rsid w:val="00213869"/>
    <w:rsid w:val="00216C3D"/>
    <w:rsid w:val="00216F18"/>
    <w:rsid w:val="002211D7"/>
    <w:rsid w:val="00221B53"/>
    <w:rsid w:val="00227D86"/>
    <w:rsid w:val="00234C13"/>
    <w:rsid w:val="00241FD8"/>
    <w:rsid w:val="002433BB"/>
    <w:rsid w:val="00243543"/>
    <w:rsid w:val="0024452E"/>
    <w:rsid w:val="00244912"/>
    <w:rsid w:val="00251956"/>
    <w:rsid w:val="00252B64"/>
    <w:rsid w:val="00261CD5"/>
    <w:rsid w:val="002627E9"/>
    <w:rsid w:val="00270807"/>
    <w:rsid w:val="00272726"/>
    <w:rsid w:val="002763E8"/>
    <w:rsid w:val="002768CB"/>
    <w:rsid w:val="00295FEC"/>
    <w:rsid w:val="002964A7"/>
    <w:rsid w:val="002A43AC"/>
    <w:rsid w:val="002A4B4C"/>
    <w:rsid w:val="002A7858"/>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2531"/>
    <w:rsid w:val="00323876"/>
    <w:rsid w:val="00324A73"/>
    <w:rsid w:val="003261E7"/>
    <w:rsid w:val="0032640F"/>
    <w:rsid w:val="003426A7"/>
    <w:rsid w:val="00342D9C"/>
    <w:rsid w:val="00343AEE"/>
    <w:rsid w:val="0034406C"/>
    <w:rsid w:val="00344382"/>
    <w:rsid w:val="00347A4F"/>
    <w:rsid w:val="00350A54"/>
    <w:rsid w:val="00351CE0"/>
    <w:rsid w:val="00354D90"/>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58F"/>
    <w:rsid w:val="00397474"/>
    <w:rsid w:val="003A0A39"/>
    <w:rsid w:val="003A2395"/>
    <w:rsid w:val="003A298E"/>
    <w:rsid w:val="003A511A"/>
    <w:rsid w:val="003A74DC"/>
    <w:rsid w:val="003A7EF3"/>
    <w:rsid w:val="003B2EF0"/>
    <w:rsid w:val="003B359D"/>
    <w:rsid w:val="003B5CB5"/>
    <w:rsid w:val="003B7736"/>
    <w:rsid w:val="003C11E4"/>
    <w:rsid w:val="003C1291"/>
    <w:rsid w:val="003C315A"/>
    <w:rsid w:val="003C4607"/>
    <w:rsid w:val="003E7A7A"/>
    <w:rsid w:val="003F5553"/>
    <w:rsid w:val="003F6024"/>
    <w:rsid w:val="003F6C0B"/>
    <w:rsid w:val="003F7C72"/>
    <w:rsid w:val="00402970"/>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5CED"/>
    <w:rsid w:val="004A7868"/>
    <w:rsid w:val="004A7E34"/>
    <w:rsid w:val="004B4F4F"/>
    <w:rsid w:val="004B65B7"/>
    <w:rsid w:val="004C0C48"/>
    <w:rsid w:val="004C1503"/>
    <w:rsid w:val="004C2373"/>
    <w:rsid w:val="004C2F5B"/>
    <w:rsid w:val="004C39D8"/>
    <w:rsid w:val="004C3BAB"/>
    <w:rsid w:val="004C3C4E"/>
    <w:rsid w:val="004C68AA"/>
    <w:rsid w:val="004D15C7"/>
    <w:rsid w:val="004D5D4B"/>
    <w:rsid w:val="004E2904"/>
    <w:rsid w:val="004E377E"/>
    <w:rsid w:val="004E3794"/>
    <w:rsid w:val="004E587C"/>
    <w:rsid w:val="004E5DF1"/>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E61E8"/>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2BD8"/>
    <w:rsid w:val="00634A82"/>
    <w:rsid w:val="0063635C"/>
    <w:rsid w:val="00636FD2"/>
    <w:rsid w:val="00642658"/>
    <w:rsid w:val="00642CED"/>
    <w:rsid w:val="00644C47"/>
    <w:rsid w:val="00645392"/>
    <w:rsid w:val="006462A6"/>
    <w:rsid w:val="006507B8"/>
    <w:rsid w:val="00650CE6"/>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6003"/>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E5992"/>
    <w:rsid w:val="006F1D8C"/>
    <w:rsid w:val="006F29F4"/>
    <w:rsid w:val="006F4263"/>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EF3"/>
    <w:rsid w:val="007A44FA"/>
    <w:rsid w:val="007A5016"/>
    <w:rsid w:val="007B0A5E"/>
    <w:rsid w:val="007B274E"/>
    <w:rsid w:val="007B5710"/>
    <w:rsid w:val="007B6CFA"/>
    <w:rsid w:val="007C004E"/>
    <w:rsid w:val="007C380C"/>
    <w:rsid w:val="007C5459"/>
    <w:rsid w:val="007C5BD9"/>
    <w:rsid w:val="007D3078"/>
    <w:rsid w:val="007D447A"/>
    <w:rsid w:val="007D778B"/>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55CA4"/>
    <w:rsid w:val="0086601B"/>
    <w:rsid w:val="0086631B"/>
    <w:rsid w:val="00874F85"/>
    <w:rsid w:val="00875D83"/>
    <w:rsid w:val="008822C0"/>
    <w:rsid w:val="008956A7"/>
    <w:rsid w:val="00896804"/>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46204"/>
    <w:rsid w:val="00953728"/>
    <w:rsid w:val="009549DE"/>
    <w:rsid w:val="00955F6A"/>
    <w:rsid w:val="00960888"/>
    <w:rsid w:val="009616E9"/>
    <w:rsid w:val="00961A43"/>
    <w:rsid w:val="00962864"/>
    <w:rsid w:val="0096297D"/>
    <w:rsid w:val="00966BC9"/>
    <w:rsid w:val="009707ED"/>
    <w:rsid w:val="0097198E"/>
    <w:rsid w:val="00972E57"/>
    <w:rsid w:val="00974BFB"/>
    <w:rsid w:val="00975228"/>
    <w:rsid w:val="00977C30"/>
    <w:rsid w:val="00983753"/>
    <w:rsid w:val="00984176"/>
    <w:rsid w:val="00984FEE"/>
    <w:rsid w:val="00985910"/>
    <w:rsid w:val="0098785C"/>
    <w:rsid w:val="009905E4"/>
    <w:rsid w:val="009906A7"/>
    <w:rsid w:val="00994F64"/>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A00453"/>
    <w:rsid w:val="00A00749"/>
    <w:rsid w:val="00A017E6"/>
    <w:rsid w:val="00A02281"/>
    <w:rsid w:val="00A07307"/>
    <w:rsid w:val="00A11DBC"/>
    <w:rsid w:val="00A12564"/>
    <w:rsid w:val="00A13A86"/>
    <w:rsid w:val="00A210D8"/>
    <w:rsid w:val="00A2217E"/>
    <w:rsid w:val="00A23592"/>
    <w:rsid w:val="00A25628"/>
    <w:rsid w:val="00A27606"/>
    <w:rsid w:val="00A310F1"/>
    <w:rsid w:val="00A32D13"/>
    <w:rsid w:val="00A330F9"/>
    <w:rsid w:val="00A33FF6"/>
    <w:rsid w:val="00A346F9"/>
    <w:rsid w:val="00A357CA"/>
    <w:rsid w:val="00A37DEB"/>
    <w:rsid w:val="00A44145"/>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A37D5"/>
    <w:rsid w:val="00AA3C90"/>
    <w:rsid w:val="00AB0E94"/>
    <w:rsid w:val="00AB1D87"/>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2604D"/>
    <w:rsid w:val="00B328B2"/>
    <w:rsid w:val="00B34EE5"/>
    <w:rsid w:val="00B35868"/>
    <w:rsid w:val="00B37523"/>
    <w:rsid w:val="00B4351A"/>
    <w:rsid w:val="00B43983"/>
    <w:rsid w:val="00B46801"/>
    <w:rsid w:val="00B51BF0"/>
    <w:rsid w:val="00B556C3"/>
    <w:rsid w:val="00B5719C"/>
    <w:rsid w:val="00B60E6C"/>
    <w:rsid w:val="00B62215"/>
    <w:rsid w:val="00B634A7"/>
    <w:rsid w:val="00B64A00"/>
    <w:rsid w:val="00B66D59"/>
    <w:rsid w:val="00B6766A"/>
    <w:rsid w:val="00B73DE9"/>
    <w:rsid w:val="00B80A97"/>
    <w:rsid w:val="00B8343D"/>
    <w:rsid w:val="00B83FA6"/>
    <w:rsid w:val="00B85AF7"/>
    <w:rsid w:val="00B96066"/>
    <w:rsid w:val="00B96DC0"/>
    <w:rsid w:val="00BA6522"/>
    <w:rsid w:val="00BA740A"/>
    <w:rsid w:val="00BA7A07"/>
    <w:rsid w:val="00BC3232"/>
    <w:rsid w:val="00BC5C73"/>
    <w:rsid w:val="00BD2484"/>
    <w:rsid w:val="00BD5389"/>
    <w:rsid w:val="00BD7F79"/>
    <w:rsid w:val="00BE004D"/>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47D7"/>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13AD"/>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DD4"/>
    <w:rsid w:val="00D21FC7"/>
    <w:rsid w:val="00D223AD"/>
    <w:rsid w:val="00D22637"/>
    <w:rsid w:val="00D2344E"/>
    <w:rsid w:val="00D25DA0"/>
    <w:rsid w:val="00D301C9"/>
    <w:rsid w:val="00D40330"/>
    <w:rsid w:val="00D42CD4"/>
    <w:rsid w:val="00D43E4D"/>
    <w:rsid w:val="00D44FE9"/>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2CB3"/>
    <w:rsid w:val="00DB317F"/>
    <w:rsid w:val="00DB503F"/>
    <w:rsid w:val="00DB5F9F"/>
    <w:rsid w:val="00DB68AD"/>
    <w:rsid w:val="00DC0A5F"/>
    <w:rsid w:val="00DC31A6"/>
    <w:rsid w:val="00DC410D"/>
    <w:rsid w:val="00DC4DB4"/>
    <w:rsid w:val="00DC7955"/>
    <w:rsid w:val="00DD42FF"/>
    <w:rsid w:val="00DD4E60"/>
    <w:rsid w:val="00DE1968"/>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D2F82"/>
    <w:rsid w:val="00EE401F"/>
    <w:rsid w:val="00EE416C"/>
    <w:rsid w:val="00EE7FA3"/>
    <w:rsid w:val="00EF0A63"/>
    <w:rsid w:val="00EF0BB1"/>
    <w:rsid w:val="00EF1B8F"/>
    <w:rsid w:val="00F004A9"/>
    <w:rsid w:val="00F00969"/>
    <w:rsid w:val="00F00A0D"/>
    <w:rsid w:val="00F0177A"/>
    <w:rsid w:val="00F026A8"/>
    <w:rsid w:val="00F028A1"/>
    <w:rsid w:val="00F02D68"/>
    <w:rsid w:val="00F03127"/>
    <w:rsid w:val="00F03B14"/>
    <w:rsid w:val="00F03F25"/>
    <w:rsid w:val="00F044FB"/>
    <w:rsid w:val="00F05169"/>
    <w:rsid w:val="00F13A8E"/>
    <w:rsid w:val="00F14BE8"/>
    <w:rsid w:val="00F24B37"/>
    <w:rsid w:val="00F27BCD"/>
    <w:rsid w:val="00F348AC"/>
    <w:rsid w:val="00F35734"/>
    <w:rsid w:val="00F368B7"/>
    <w:rsid w:val="00F40D22"/>
    <w:rsid w:val="00F40DF1"/>
    <w:rsid w:val="00F40E96"/>
    <w:rsid w:val="00F40EB6"/>
    <w:rsid w:val="00F41ACF"/>
    <w:rsid w:val="00F41FE1"/>
    <w:rsid w:val="00F456EE"/>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3146"/>
    <w:rsid w:val="00FD36BA"/>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BA9286D"/>
  <w15:docId w15:val="{1D51A568-5EA1-4222-A62F-D3E3B16A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Standard"/>
    <w:rsid w:val="003261E7"/>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3261E7"/>
    <w:pPr>
      <w:spacing w:after="240"/>
    </w:pPr>
    <w:rPr>
      <w:i w:val="0"/>
      <w:sz w:val="22"/>
    </w:rPr>
  </w:style>
  <w:style w:type="paragraph" w:customStyle="1" w:styleId="1LDSberschrift3">
    <w:name w:val="1_LDS Überschrift 3"/>
    <w:basedOn w:val="berschrift3"/>
    <w:next w:val="Standard"/>
    <w:rsid w:val="003261E7"/>
    <w:pPr>
      <w:spacing w:after="240"/>
    </w:pPr>
    <w:rPr>
      <w:sz w:val="22"/>
    </w:rPr>
  </w:style>
  <w:style w:type="paragraph" w:customStyle="1" w:styleId="SeitennrFolgeseite">
    <w:name w:val="Seitennr. Folgeseite"/>
    <w:rsid w:val="001464F1"/>
    <w:rPr>
      <w:sz w:val="24"/>
      <w:szCs w:val="24"/>
    </w:rPr>
  </w:style>
  <w:style w:type="character" w:styleId="Kommentarzeichen">
    <w:name w:val="annotation reference"/>
    <w:rsid w:val="00A07307"/>
    <w:rPr>
      <w:sz w:val="16"/>
      <w:szCs w:val="16"/>
    </w:rPr>
  </w:style>
  <w:style w:type="paragraph" w:styleId="Kommentartext">
    <w:name w:val="annotation text"/>
    <w:basedOn w:val="Standard"/>
    <w:link w:val="KommentartextZchn"/>
    <w:rsid w:val="00A07307"/>
    <w:pPr>
      <w:spacing w:after="240"/>
    </w:pPr>
    <w:rPr>
      <w:sz w:val="20"/>
      <w:szCs w:val="20"/>
    </w:rPr>
  </w:style>
  <w:style w:type="character" w:customStyle="1" w:styleId="KommentartextZchn">
    <w:name w:val="Kommentartext Zchn"/>
    <w:basedOn w:val="Absatz-Standardschriftart"/>
    <w:link w:val="Kommentartext"/>
    <w:rsid w:val="00A07307"/>
    <w:rPr>
      <w:rFonts w:ascii="Arial" w:hAnsi="Arial"/>
    </w:rPr>
  </w:style>
  <w:style w:type="paragraph" w:styleId="Listenabsatz">
    <w:name w:val="List Paragraph"/>
    <w:basedOn w:val="Standard"/>
    <w:uiPriority w:val="34"/>
    <w:qFormat/>
    <w:rsid w:val="00632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creator>Krumbiegel, Ulrike - LDS</dc:creator>
  <cp:lastModifiedBy>Uhlmann, Michaela - LDS</cp:lastModifiedBy>
  <cp:revision>2</cp:revision>
  <cp:lastPrinted>2021-05-27T10:20:00Z</cp:lastPrinted>
  <dcterms:created xsi:type="dcterms:W3CDTF">2025-08-11T05:06:00Z</dcterms:created>
  <dcterms:modified xsi:type="dcterms:W3CDTF">2025-08-11T05:06:00Z</dcterms:modified>
</cp:coreProperties>
</file>