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672B" w14:textId="77777777" w:rsidR="00B4622A" w:rsidRPr="00BA45B1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 w:rsidRPr="00BA45B1">
        <w:rPr>
          <w:b/>
        </w:rPr>
        <w:t>Bekanntgabe</w:t>
      </w:r>
    </w:p>
    <w:p w14:paraId="3F20A873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>der Landesdirektion Sachsen</w:t>
      </w:r>
    </w:p>
    <w:p w14:paraId="62EB16B9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 xml:space="preserve">nach </w:t>
      </w:r>
      <w:r w:rsidR="000D724A" w:rsidRPr="00BA45B1">
        <w:rPr>
          <w:b/>
        </w:rPr>
        <w:t>§ 5 Abs</w:t>
      </w:r>
      <w:r w:rsidR="002043AC" w:rsidRPr="00BA45B1">
        <w:rPr>
          <w:b/>
        </w:rPr>
        <w:t>atz</w:t>
      </w:r>
      <w:r w:rsidR="000D724A" w:rsidRPr="00BA45B1">
        <w:rPr>
          <w:b/>
        </w:rPr>
        <w:t xml:space="preserve"> 2 des</w:t>
      </w:r>
      <w:r w:rsidRPr="00BA45B1">
        <w:rPr>
          <w:b/>
        </w:rPr>
        <w:t xml:space="preserve"> Gesetz</w:t>
      </w:r>
      <w:r w:rsidR="000D724A" w:rsidRPr="00BA45B1">
        <w:rPr>
          <w:b/>
        </w:rPr>
        <w:t>es</w:t>
      </w:r>
      <w:r w:rsidRPr="00BA45B1">
        <w:rPr>
          <w:b/>
        </w:rPr>
        <w:t xml:space="preserve"> über die Umweltverträglichkeitsprüfung</w:t>
      </w:r>
    </w:p>
    <w:p w14:paraId="6FD393F7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 xml:space="preserve">für das Vorhaben </w:t>
      </w:r>
      <w:r w:rsidR="00BA45B1" w:rsidRPr="00BA45B1">
        <w:rPr>
          <w:b/>
        </w:rPr>
        <w:t>„</w:t>
      </w:r>
      <w:r w:rsidR="00495E59" w:rsidRPr="00495E59">
        <w:rPr>
          <w:b/>
        </w:rPr>
        <w:t>Umsetzung der HWSK-Maßnahme M 59 der Elbe in Dresden - Ertüchtigung und Erhöhung des Elbdeiches Dresden-Kaditz</w:t>
      </w:r>
      <w:r w:rsidR="00BA45B1" w:rsidRPr="00BA45B1">
        <w:rPr>
          <w:b/>
        </w:rPr>
        <w:t>“</w:t>
      </w:r>
    </w:p>
    <w:p w14:paraId="22E065FD" w14:textId="77777777" w:rsidR="00B4622A" w:rsidRPr="00BA45B1" w:rsidRDefault="00B4622A" w:rsidP="00B4622A">
      <w:pPr>
        <w:jc w:val="center"/>
        <w:rPr>
          <w:b/>
        </w:rPr>
      </w:pPr>
      <w:r w:rsidRPr="00BA45B1">
        <w:rPr>
          <w:b/>
        </w:rPr>
        <w:t xml:space="preserve">Gz.: </w:t>
      </w:r>
      <w:r w:rsidR="00BA45B1" w:rsidRPr="00BA45B1">
        <w:rPr>
          <w:b/>
        </w:rPr>
        <w:t>C46_DD-0522/1171/6</w:t>
      </w:r>
    </w:p>
    <w:p w14:paraId="15B56D1C" w14:textId="085CE1EB" w:rsidR="00B4622A" w:rsidRPr="00384475" w:rsidRDefault="00B4622A" w:rsidP="00B4622A">
      <w:pPr>
        <w:jc w:val="center"/>
        <w:rPr>
          <w:b/>
        </w:rPr>
      </w:pPr>
      <w:r w:rsidRPr="00981D00">
        <w:rPr>
          <w:b/>
        </w:rPr>
        <w:t xml:space="preserve">Vom </w:t>
      </w:r>
      <w:r w:rsidR="00384475" w:rsidRPr="00384475">
        <w:rPr>
          <w:b/>
        </w:rPr>
        <w:t>9. Februar 2021</w:t>
      </w:r>
    </w:p>
    <w:p w14:paraId="6C27889C" w14:textId="77777777" w:rsidR="008E7086" w:rsidRPr="007F570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24. Februar 2010 (BGBl. I S. 94), </w:t>
      </w:r>
      <w:r w:rsidR="003D3DFB">
        <w:t>das zuletzt durch Artikel 4 des Gesetzes vom 3. Dezember 2020 (BGBl. I S. 2694)</w:t>
      </w:r>
      <w:r w:rsidR="007875B1">
        <w:t xml:space="preserve"> (Gesetz über die Umweltverträglichkeitsprüfung</w:t>
      </w:r>
      <w:r>
        <w:t>) geändert worden ist.</w:t>
      </w:r>
    </w:p>
    <w:p w14:paraId="43B0C6C7" w14:textId="77777777" w:rsidR="00B4622A" w:rsidRPr="00BA45B1" w:rsidRDefault="00B4622A" w:rsidP="00BA45B1">
      <w:pPr>
        <w:spacing w:after="120"/>
        <w:ind w:firstLine="567"/>
      </w:pPr>
      <w:r w:rsidRPr="00CB205E">
        <w:t xml:space="preserve">Die </w:t>
      </w:r>
      <w:r w:rsidR="00BA45B1" w:rsidRPr="00B45238">
        <w:rPr>
          <w:szCs w:val="22"/>
        </w:rPr>
        <w:t>Landestalsperrenverwaltung des Freistaates Sachsen, Betrieb Oberes Elbtal</w:t>
      </w:r>
      <w:r w:rsidR="00BA45B1">
        <w:rPr>
          <w:szCs w:val="22"/>
        </w:rPr>
        <w:t xml:space="preserve">, </w:t>
      </w:r>
      <w:r w:rsidR="00BA45B1" w:rsidRPr="00BA45B1">
        <w:rPr>
          <w:szCs w:val="22"/>
        </w:rPr>
        <w:t>Am Viertelacker 14</w:t>
      </w:r>
      <w:r w:rsidR="00BA45B1">
        <w:rPr>
          <w:szCs w:val="22"/>
        </w:rPr>
        <w:t xml:space="preserve"> </w:t>
      </w:r>
      <w:r w:rsidR="00BA45B1" w:rsidRPr="00BA45B1">
        <w:rPr>
          <w:szCs w:val="22"/>
        </w:rPr>
        <w:t>in 01259 Dresden</w:t>
      </w:r>
      <w:r w:rsidR="00BA45B1" w:rsidRPr="00BA45B1">
        <w:t xml:space="preserve"> </w:t>
      </w:r>
      <w:r w:rsidRPr="00BA45B1">
        <w:t xml:space="preserve">hat bei der Landesdirektion Sachsen mit Schreiben vom </w:t>
      </w:r>
      <w:r w:rsidR="00495E59">
        <w:t>2</w:t>
      </w:r>
      <w:r w:rsidR="00BA45B1" w:rsidRPr="00BA45B1">
        <w:rPr>
          <w:szCs w:val="22"/>
        </w:rPr>
        <w:t xml:space="preserve">7. Juli 2020 </w:t>
      </w:r>
      <w:r w:rsidRPr="00BA45B1">
        <w:rPr>
          <w:rFonts w:cs="Arial"/>
          <w:szCs w:val="22"/>
        </w:rPr>
        <w:t>die Entscheidung bean</w:t>
      </w:r>
      <w:r w:rsidRPr="00BA45B1">
        <w:rPr>
          <w:rFonts w:cs="Arial"/>
          <w:szCs w:val="22"/>
        </w:rPr>
        <w:lastRenderedPageBreak/>
        <w:t>tragt, ob für das Vorhaben anstelle eines Planfeststellungsbeschlusses eine Plang</w:t>
      </w:r>
      <w:r w:rsidR="00BA45B1" w:rsidRPr="00BA45B1">
        <w:rPr>
          <w:rFonts w:cs="Arial"/>
          <w:szCs w:val="22"/>
        </w:rPr>
        <w:t>enehmigung erteilt werden kann.</w:t>
      </w:r>
    </w:p>
    <w:p w14:paraId="6FC68EBE" w14:textId="77777777" w:rsidR="00B4622A" w:rsidRPr="00582228" w:rsidRDefault="00B4622A" w:rsidP="00B4622A">
      <w:pPr>
        <w:ind w:firstLine="567"/>
      </w:pPr>
      <w:r>
        <w:t xml:space="preserve">Das Vorhaben </w:t>
      </w:r>
      <w:r w:rsidR="00BA45B1">
        <w:t>„</w:t>
      </w:r>
      <w:r w:rsidR="00495E59" w:rsidRPr="00495E59">
        <w:t xml:space="preserve">Umsetzung der HWSK-Maßnahme M 59 der Elbe in </w:t>
      </w:r>
      <w:r w:rsidR="00495E59">
        <w:t>Dresden - Ertüchtigung und Erhö</w:t>
      </w:r>
      <w:r w:rsidR="00495E59" w:rsidRPr="00495E59">
        <w:t>hung des Elbdeiches Dresden-Kaditz</w:t>
      </w:r>
      <w:r w:rsidR="00BA45B1" w:rsidRPr="00BA45B1">
        <w:t>“</w:t>
      </w:r>
      <w:r w:rsidRPr="00BA45B1">
        <w:t xml:space="preserve"> fällt in den Anwendungsbereich des Gesetzes über die Umwelt</w:t>
      </w:r>
      <w:r w:rsidR="00751A65" w:rsidRPr="00BA45B1">
        <w:t>verträglichkeitsprüfung. Dementsprechend</w:t>
      </w:r>
      <w:r w:rsidRPr="00BA45B1">
        <w:t xml:space="preserve"> </w:t>
      </w:r>
      <w:r w:rsidR="006B2A51" w:rsidRPr="00BA45B1">
        <w:t>hat</w:t>
      </w:r>
      <w:r w:rsidRPr="00BA45B1">
        <w:t xml:space="preserve"> die Landesdirektion Sachsen eine </w:t>
      </w:r>
      <w:r w:rsidR="00BA45B1" w:rsidRPr="00BA45B1">
        <w:t>allgemeine</w:t>
      </w:r>
      <w:r w:rsidRPr="00BA45B1">
        <w:t xml:space="preserve"> </w:t>
      </w:r>
      <w:r w:rsidRPr="00582228">
        <w:t xml:space="preserve">Vorprüfung des Einzelfalls </w:t>
      </w:r>
      <w:r w:rsidR="006B2A51" w:rsidRPr="00582228">
        <w:t>vorgenommen</w:t>
      </w:r>
      <w:r w:rsidRPr="00582228">
        <w:t>.</w:t>
      </w:r>
    </w:p>
    <w:p w14:paraId="2F5EEFAF" w14:textId="083B12F2" w:rsidR="00B4622A" w:rsidRPr="00294E03" w:rsidRDefault="00E721DA" w:rsidP="00B4622A">
      <w:pPr>
        <w:ind w:firstLine="567"/>
        <w:rPr>
          <w:i/>
        </w:rPr>
      </w:pPr>
      <w:r w:rsidRPr="00582228">
        <w:t xml:space="preserve">Im Rahmen dieser Vorprüfung wurde am </w:t>
      </w:r>
      <w:r w:rsidR="00B039D1">
        <w:t>4</w:t>
      </w:r>
      <w:r w:rsidR="00495E59" w:rsidRPr="00582228">
        <w:t xml:space="preserve">. Februar </w:t>
      </w:r>
      <w:r w:rsidR="00BA45B1" w:rsidRPr="00582228">
        <w:t>2021</w:t>
      </w:r>
      <w:r w:rsidR="00B4622A" w:rsidRPr="00582228">
        <w:t xml:space="preserve"> </w:t>
      </w:r>
      <w:r w:rsidRPr="00582228">
        <w:t>festgestellt</w:t>
      </w:r>
      <w:r w:rsidR="00B4622A" w:rsidRPr="00582228">
        <w:t xml:space="preserve">, dass keine </w:t>
      </w:r>
      <w:r w:rsidR="006B2A51" w:rsidRPr="00582228">
        <w:t>Pflicht</w:t>
      </w:r>
      <w:r w:rsidR="00B4622A" w:rsidRPr="00582228">
        <w:t xml:space="preserve"> zur Durchführung einer Umweltverträglichkeitsprüfung </w:t>
      </w:r>
      <w:r w:rsidR="00B4622A" w:rsidRPr="00BA45B1">
        <w:t xml:space="preserve">besteht. </w:t>
      </w:r>
      <w:r w:rsidR="006B2A51" w:rsidRPr="00BA45B1">
        <w:t>Das</w:t>
      </w:r>
      <w:r w:rsidR="00B4622A" w:rsidRPr="00BA45B1">
        <w:t xml:space="preserve"> Vorhaben </w:t>
      </w:r>
      <w:r w:rsidR="006B2A51" w:rsidRPr="00BA45B1">
        <w:t xml:space="preserve">hat </w:t>
      </w:r>
      <w:r w:rsidR="00B4622A" w:rsidRPr="00BA45B1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</w:t>
      </w:r>
      <w:r w:rsidR="007875B1" w:rsidRPr="00294E03">
        <w:t xml:space="preserve">über die Umweltverträglichkeitsprüfung </w:t>
      </w:r>
      <w:r w:rsidR="00F60159" w:rsidRPr="00294E03">
        <w:t xml:space="preserve">bei der Zulassungsentscheidung </w:t>
      </w:r>
      <w:r w:rsidR="00B4622A" w:rsidRPr="00294E03">
        <w:t>zu berücksichtigen</w:t>
      </w:r>
      <w:r w:rsidR="00F60159" w:rsidRPr="00294E03">
        <w:t xml:space="preserve"> wären</w:t>
      </w:r>
      <w:r w:rsidR="00B4622A" w:rsidRPr="00294E03">
        <w:t>.</w:t>
      </w:r>
      <w:r w:rsidR="006B2A51" w:rsidRPr="00294E03">
        <w:t xml:space="preserve"> </w:t>
      </w:r>
      <w:r w:rsidR="00326CA9" w:rsidRPr="00294E03">
        <w:t>Für diese Einschätzung</w:t>
      </w:r>
      <w:r w:rsidR="006B2A51" w:rsidRPr="00294E03">
        <w:t xml:space="preserve"> </w:t>
      </w:r>
      <w:r w:rsidR="00326CA9" w:rsidRPr="00294E03">
        <w:t>sind folgende</w:t>
      </w:r>
      <w:r w:rsidR="00BA45B1" w:rsidRPr="00294E03">
        <w:t xml:space="preserve"> wesentliche Gründe</w:t>
      </w:r>
      <w:r w:rsidR="00B4622A" w:rsidRPr="00294E03">
        <w:t xml:space="preserve"> </w:t>
      </w:r>
      <w:r w:rsidR="00326CA9" w:rsidRPr="00294E03">
        <w:t>maßgebend:</w:t>
      </w:r>
    </w:p>
    <w:p w14:paraId="681DCC56" w14:textId="77777777" w:rsidR="00B4622A" w:rsidRPr="00294E03" w:rsidRDefault="00BA45B1" w:rsidP="00B4622A">
      <w:pPr>
        <w:ind w:left="567" w:hanging="567"/>
      </w:pPr>
      <w:r w:rsidRPr="00294E03">
        <w:lastRenderedPageBreak/>
        <w:t>-</w:t>
      </w:r>
      <w:r w:rsidRPr="00294E03">
        <w:tab/>
        <w:t xml:space="preserve">das </w:t>
      </w:r>
      <w:r w:rsidR="00B4622A" w:rsidRPr="00294E03">
        <w:t>nicht vorhandene Zusammenwirken mit anderen bestehenden oder zugelassenen Vorhaben und Tätigkeiten,</w:t>
      </w:r>
    </w:p>
    <w:p w14:paraId="5A34EF2F" w14:textId="77777777" w:rsidR="00B4622A" w:rsidRPr="00294E03" w:rsidRDefault="00B4622A" w:rsidP="00B4622A">
      <w:pPr>
        <w:ind w:left="567" w:hanging="567"/>
      </w:pPr>
      <w:r w:rsidRPr="00294E03">
        <w:t>-</w:t>
      </w:r>
      <w:r w:rsidRPr="00294E03">
        <w:tab/>
        <w:t>die une</w:t>
      </w:r>
      <w:r w:rsidR="005B616F" w:rsidRPr="00294E03">
        <w:t>rhebliche</w:t>
      </w:r>
      <w:r w:rsidRPr="00294E03">
        <w:t xml:space="preserve"> Nutzung natürlicher Ressourcen, insbesondere Fläche, Boden, Wasser, Tiere, Pflanzen und biologische Vielfalt,</w:t>
      </w:r>
    </w:p>
    <w:p w14:paraId="3BC8C626" w14:textId="77777777" w:rsidR="00B4622A" w:rsidRPr="00294E03" w:rsidRDefault="00B4622A" w:rsidP="00B4622A">
      <w:pPr>
        <w:ind w:left="567" w:hanging="567"/>
      </w:pPr>
      <w:r w:rsidRPr="00294E03">
        <w:t>-</w:t>
      </w:r>
      <w:r w:rsidRPr="00294E03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2066851C" w14:textId="77777777" w:rsidR="00B4622A" w:rsidRPr="00294E03" w:rsidRDefault="00B4622A" w:rsidP="00B4622A">
      <w:pPr>
        <w:tabs>
          <w:tab w:val="left" w:pos="567"/>
        </w:tabs>
        <w:ind w:left="567" w:hanging="567"/>
      </w:pPr>
      <w:r w:rsidRPr="00294E03">
        <w:t>-</w:t>
      </w:r>
      <w:r w:rsidRPr="00294E03">
        <w:tab/>
        <w:t>die Belastbarkeit der Schutzgüter unter besonderer Berücksichtigung folgender Gebiete und von Art und Umfang des ihnen jeweils zugewiesenen Schutzes (Schutzkriterien):</w:t>
      </w:r>
    </w:p>
    <w:p w14:paraId="180D4CD4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Natura 2000-Gebiete,</w:t>
      </w:r>
    </w:p>
    <w:p w14:paraId="514929B2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Landschaftsschutzgebiete,</w:t>
      </w:r>
    </w:p>
    <w:p w14:paraId="7ED172D8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gesetzlich geschützte Biotope,</w:t>
      </w:r>
    </w:p>
    <w:p w14:paraId="442FB8DC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Überschwemmungsgebiete,</w:t>
      </w:r>
    </w:p>
    <w:p w14:paraId="75D3BB71" w14:textId="77777777" w:rsidR="00B4622A" w:rsidRPr="00294E03" w:rsidRDefault="004A2E77" w:rsidP="00D64154">
      <w:pPr>
        <w:spacing w:before="240"/>
        <w:ind w:left="567" w:hanging="567"/>
      </w:pPr>
      <w:r w:rsidRPr="00294E03">
        <w:lastRenderedPageBreak/>
        <w:t>-</w:t>
      </w:r>
      <w:r w:rsidRPr="00294E03">
        <w:tab/>
        <w:t>die</w:t>
      </w:r>
      <w:r w:rsidR="00B4622A" w:rsidRPr="00294E03">
        <w:t xml:space="preserve"> </w:t>
      </w:r>
      <w:r w:rsidR="00D64154" w:rsidRPr="00294E03">
        <w:t>unerhebliche</w:t>
      </w:r>
      <w:r w:rsidR="00B4622A" w:rsidRPr="00294E03">
        <w:t xml:space="preserve"> Schwere und Komplexität der Auswirkungen,</w:t>
      </w:r>
    </w:p>
    <w:p w14:paraId="56CAD0FD" w14:textId="77777777" w:rsidR="00B4622A" w:rsidRPr="00294E03" w:rsidRDefault="00B4622A" w:rsidP="00B4622A">
      <w:pPr>
        <w:ind w:left="567" w:hanging="567"/>
      </w:pPr>
      <w:r w:rsidRPr="00294E03">
        <w:t>-</w:t>
      </w:r>
      <w:r w:rsidRPr="00294E03">
        <w:tab/>
        <w:t>d</w:t>
      </w:r>
      <w:r w:rsidR="004A2E77" w:rsidRPr="00294E03">
        <w:t>as</w:t>
      </w:r>
      <w:r w:rsidR="00D64154" w:rsidRPr="00294E03">
        <w:t xml:space="preserve"> </w:t>
      </w:r>
      <w:r w:rsidRPr="00294E03">
        <w:t>nicht vorhandene Zusammenwirken der Auswirkungen mit den Auswirkungen anderer bestehender oder zugelassener Vorhaben,</w:t>
      </w:r>
    </w:p>
    <w:p w14:paraId="3DC06C53" w14:textId="77777777" w:rsidR="00B4622A" w:rsidRPr="00294E03" w:rsidRDefault="00B4622A" w:rsidP="00B4622A">
      <w:pPr>
        <w:tabs>
          <w:tab w:val="left" w:pos="567"/>
        </w:tabs>
      </w:pPr>
      <w:r w:rsidRPr="00294E03">
        <w:t>-</w:t>
      </w:r>
      <w:r w:rsidRPr="00294E03">
        <w:tab/>
        <w:t>d</w:t>
      </w:r>
      <w:r w:rsidR="004A2E77" w:rsidRPr="00294E03">
        <w:t>ie</w:t>
      </w:r>
      <w:r w:rsidRPr="00294E03">
        <w:t xml:space="preserve"> Möglichkeit, die Auswirkungen wirksam zu vermindern.</w:t>
      </w:r>
    </w:p>
    <w:p w14:paraId="1A089401" w14:textId="77777777" w:rsidR="00C70110" w:rsidRPr="00D64154" w:rsidRDefault="00C70110" w:rsidP="00B4622A">
      <w:r>
        <w:t xml:space="preserve">Für die Entscheidung, dass für das Vorhaben keine Pflicht zur Durchführung einer Umweltverträglichkeitsprüfung besteht, sind die folgenden Merkmale des Vorhabens oder des Standorts </w:t>
      </w:r>
      <w:r w:rsidRPr="00D64154">
        <w:t>maßgebend:</w:t>
      </w:r>
    </w:p>
    <w:p w14:paraId="5622BAC3" w14:textId="77777777" w:rsidR="00D64154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Reduzierung der Auswirkungen auf das Grundwasser bzw. den vorhandenen Boden durch die Verwendung des Bodenmischverfahrens zur Herstellung der Untergrundabdichtung.</w:t>
      </w:r>
    </w:p>
    <w:p w14:paraId="0D63A0DC" w14:textId="77777777" w:rsidR="00C70110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Reduzierung der Auswirkungen auf das Grundwasser durch die Anordnung von Aussparungen in der Untergrundabdichtung.</w:t>
      </w:r>
    </w:p>
    <w:p w14:paraId="421EDF7B" w14:textId="77777777" w:rsidR="00C70110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lastRenderedPageBreak/>
        <w:t>Die geringe sichtbare Höhe der</w:t>
      </w:r>
      <w:r w:rsidR="00495E59">
        <w:t xml:space="preserve"> aufgesetzten</w:t>
      </w:r>
      <w:r w:rsidRPr="00D64154">
        <w:t xml:space="preserve"> Hochwasserschutzwand von maximal einem Meter.</w:t>
      </w:r>
    </w:p>
    <w:p w14:paraId="35703711" w14:textId="77777777" w:rsidR="00495E59" w:rsidRPr="00D64154" w:rsidRDefault="00495E59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Der </w:t>
      </w:r>
      <w:r w:rsidRPr="004A0246">
        <w:rPr>
          <w:szCs w:val="22"/>
        </w:rPr>
        <w:t xml:space="preserve">Oberflächenabschluss durch eine Oberbodenschicht und </w:t>
      </w:r>
      <w:r>
        <w:rPr>
          <w:szCs w:val="22"/>
        </w:rPr>
        <w:t xml:space="preserve">einer gebietsheimischen </w:t>
      </w:r>
      <w:r w:rsidRPr="004A0246">
        <w:rPr>
          <w:szCs w:val="22"/>
        </w:rPr>
        <w:t>Rasenansaat</w:t>
      </w:r>
      <w:r>
        <w:rPr>
          <w:szCs w:val="22"/>
        </w:rPr>
        <w:t>.</w:t>
      </w:r>
    </w:p>
    <w:p w14:paraId="2CFD68A9" w14:textId="77777777" w:rsidR="00B4622A" w:rsidRPr="00D64154" w:rsidRDefault="00B4622A" w:rsidP="00B4622A">
      <w:r w:rsidRPr="00D64154">
        <w:t xml:space="preserve">Darüber hinaus sind </w:t>
      </w:r>
      <w:r w:rsidR="006B2A51" w:rsidRPr="00D64154">
        <w:t>folgende</w:t>
      </w:r>
      <w:r w:rsidRPr="00D64154">
        <w:t xml:space="preserve"> Vorkehrungen für die</w:t>
      </w:r>
      <w:r w:rsidR="006B2A51" w:rsidRPr="00D64154">
        <w:t>se</w:t>
      </w:r>
      <w:r w:rsidRPr="00D64154">
        <w:t xml:space="preserve"> </w:t>
      </w:r>
      <w:r w:rsidR="006B2A51" w:rsidRPr="00D64154">
        <w:t>Einschätzung</w:t>
      </w:r>
      <w:r w:rsidRPr="00D64154">
        <w:t xml:space="preserve"> </w:t>
      </w:r>
      <w:r w:rsidR="006B2A51" w:rsidRPr="00D64154">
        <w:t>maßgebend</w:t>
      </w:r>
      <w:r w:rsidRPr="00D64154">
        <w:t>:</w:t>
      </w:r>
    </w:p>
    <w:p w14:paraId="10A4DAF0" w14:textId="77777777" w:rsidR="00D64154" w:rsidRDefault="00D64154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 xml:space="preserve">Fällung von Gehölzen außerhalb </w:t>
      </w:r>
      <w:r w:rsidR="00495E59">
        <w:t>der Brutsaison</w:t>
      </w:r>
      <w:r w:rsidRPr="00D64154">
        <w:t xml:space="preserve"> sowie der </w:t>
      </w:r>
      <w:r w:rsidR="00495E59">
        <w:t>Stamm- und Wurzelschutz</w:t>
      </w:r>
      <w:r w:rsidRPr="00D64154">
        <w:t xml:space="preserve"> verbleibender Gehölze.</w:t>
      </w:r>
    </w:p>
    <w:p w14:paraId="1F6FDDDD" w14:textId="77777777" w:rsidR="00495E59" w:rsidRPr="00495E59" w:rsidRDefault="00495E59" w:rsidP="00495E59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Die </w:t>
      </w:r>
      <w:r w:rsidRPr="00495E59">
        <w:t xml:space="preserve">Untersuchung der zu fällenden Gehölze auf das Vorkommen von </w:t>
      </w:r>
      <w:r>
        <w:t>geschützten Tierarten.</w:t>
      </w:r>
    </w:p>
    <w:p w14:paraId="219F355D" w14:textId="77777777" w:rsidR="00495E59" w:rsidRPr="00495E59" w:rsidRDefault="00495E59" w:rsidP="00495E59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D</w:t>
      </w:r>
      <w:r w:rsidRPr="00495E59">
        <w:t>ie Aufstellung von</w:t>
      </w:r>
      <w:r>
        <w:t xml:space="preserve"> t</w:t>
      </w:r>
      <w:r w:rsidRPr="00495E59">
        <w:t>emporäre</w:t>
      </w:r>
      <w:r>
        <w:t>n</w:t>
      </w:r>
      <w:r w:rsidRPr="00495E59">
        <w:t xml:space="preserve"> Am</w:t>
      </w:r>
      <w:r>
        <w:t xml:space="preserve">phibien- und Reptilienschutzzäunen sowie von </w:t>
      </w:r>
      <w:r w:rsidRPr="00495E59">
        <w:t>Vegetationsschutzzäunen.</w:t>
      </w:r>
    </w:p>
    <w:p w14:paraId="73CEEE99" w14:textId="77777777" w:rsidR="00495E59" w:rsidRPr="00495E59" w:rsidRDefault="00495E59" w:rsidP="00495E59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Die </w:t>
      </w:r>
      <w:r w:rsidRPr="00495E59">
        <w:t>Tages- und jahreszei</w:t>
      </w:r>
      <w:r>
        <w:t>tliche Beschränkung der Bauzeit.</w:t>
      </w:r>
    </w:p>
    <w:p w14:paraId="64A45E2A" w14:textId="77777777" w:rsidR="00D64154" w:rsidRPr="00D64154" w:rsidRDefault="00670F8F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Die </w:t>
      </w:r>
      <w:r w:rsidR="00D64154" w:rsidRPr="00D64154">
        <w:t>ökologische Baubegleitung</w:t>
      </w:r>
      <w:r>
        <w:t xml:space="preserve"> des Vorhabens</w:t>
      </w:r>
      <w:r w:rsidR="00D64154" w:rsidRPr="00D64154">
        <w:t>.</w:t>
      </w:r>
    </w:p>
    <w:p w14:paraId="10BD5165" w14:textId="77777777" w:rsidR="00495E59" w:rsidRPr="00D64154" w:rsidRDefault="00495E59" w:rsidP="00495E59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Die </w:t>
      </w:r>
      <w:r w:rsidRPr="00495E59">
        <w:t>Beschränkung des</w:t>
      </w:r>
      <w:r>
        <w:t xml:space="preserve"> Baufeldes und der Lagerflächen.</w:t>
      </w:r>
    </w:p>
    <w:p w14:paraId="49E844E4" w14:textId="77777777" w:rsidR="00B4622A" w:rsidRPr="00D64154" w:rsidRDefault="00B4622A" w:rsidP="00B4622A">
      <w:pPr>
        <w:ind w:firstLine="567"/>
      </w:pPr>
      <w:r w:rsidRPr="00D64154">
        <w:lastRenderedPageBreak/>
        <w:t>Diese Feststellung ist nicht selbstständig anfechtbar.</w:t>
      </w:r>
    </w:p>
    <w:p w14:paraId="6EA7B751" w14:textId="77777777" w:rsidR="00B4622A" w:rsidRDefault="00B4622A" w:rsidP="00B4622A">
      <w:pPr>
        <w:ind w:firstLine="567"/>
      </w:pPr>
      <w:r w:rsidRPr="00981D00">
        <w:t xml:space="preserve">Die entscheidungsrelevanten </w:t>
      </w:r>
      <w:r w:rsidRPr="00294E03">
        <w:t xml:space="preserve">Unterlagen sind der Öffentlichkeit in der Landesdirektion Sachsen, Referat 46, </w:t>
      </w:r>
      <w:r w:rsidRPr="00294E03">
        <w:rPr>
          <w:rFonts w:cs="Arial"/>
          <w:szCs w:val="22"/>
        </w:rPr>
        <w:t xml:space="preserve">Stauffenbergallee 2, 01099 Dresden </w:t>
      </w:r>
      <w:r w:rsidRPr="00294E03">
        <w:t>zugänglich</w:t>
      </w:r>
      <w:r w:rsidRPr="00981D00">
        <w:t>.</w:t>
      </w:r>
    </w:p>
    <w:p w14:paraId="33308C1F" w14:textId="77777777" w:rsidR="00B4622A" w:rsidRPr="00294E03" w:rsidRDefault="00B4622A" w:rsidP="00B4622A">
      <w:pPr>
        <w:ind w:firstLine="567"/>
        <w:rPr>
          <w:rFonts w:cs="Arial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</w:t>
      </w:r>
      <w:r w:rsidRPr="00294E03">
        <w:rPr>
          <w:rFonts w:cs="Arial"/>
          <w:szCs w:val="22"/>
          <w:u w:val="single"/>
        </w:rPr>
        <w:t>w.lds.sachsen.de/bekanntmachung</w:t>
      </w:r>
      <w:r w:rsidRPr="00294E03">
        <w:rPr>
          <w:rFonts w:cs="Arial"/>
          <w:szCs w:val="22"/>
        </w:rPr>
        <w:t xml:space="preserve"> unter der Rubrik </w:t>
      </w:r>
      <w:r w:rsidR="00BA45B1" w:rsidRPr="00294E03">
        <w:rPr>
          <w:rFonts w:cs="Arial"/>
          <w:szCs w:val="22"/>
        </w:rPr>
        <w:t xml:space="preserve">Hochwasserschutz </w:t>
      </w:r>
      <w:r w:rsidRPr="00294E03">
        <w:rPr>
          <w:rFonts w:cs="Arial"/>
          <w:szCs w:val="22"/>
        </w:rPr>
        <w:t>einsehbar.</w:t>
      </w:r>
    </w:p>
    <w:p w14:paraId="687C581A" w14:textId="7EF2E62C" w:rsidR="00B4622A" w:rsidRDefault="00BA45B1" w:rsidP="00A828FC">
      <w:pPr>
        <w:autoSpaceDE w:val="0"/>
        <w:autoSpaceDN w:val="0"/>
        <w:adjustRightInd w:val="0"/>
        <w:spacing w:after="720"/>
      </w:pPr>
      <w:r w:rsidRPr="00294E03">
        <w:t>Dresden</w:t>
      </w:r>
      <w:r w:rsidR="00B4622A" w:rsidRPr="00DE54FC">
        <w:rPr>
          <w:color w:val="0070C0"/>
        </w:rPr>
        <w:t xml:space="preserve">, </w:t>
      </w:r>
      <w:r w:rsidR="00B4622A" w:rsidRPr="00B2465A">
        <w:t xml:space="preserve">den </w:t>
      </w:r>
      <w:r w:rsidR="00384475" w:rsidRPr="00384475">
        <w:t>9. Februar 2021</w:t>
      </w:r>
    </w:p>
    <w:p w14:paraId="054CCB4B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6E1FBAA9" w14:textId="77777777" w:rsidR="00B4622A" w:rsidRPr="00F65F05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248CAFF" w14:textId="77777777" w:rsidR="00B4622A" w:rsidRPr="006D1521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4DA07E2A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16EA" w14:textId="77777777" w:rsidR="003D3DFB" w:rsidRDefault="003D3DFB" w:rsidP="007F5705">
      <w:pPr>
        <w:spacing w:after="0"/>
      </w:pPr>
      <w:r>
        <w:separator/>
      </w:r>
    </w:p>
  </w:endnote>
  <w:endnote w:type="continuationSeparator" w:id="0">
    <w:p w14:paraId="7474655F" w14:textId="77777777" w:rsidR="003D3DFB" w:rsidRDefault="003D3DF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DF76" w14:textId="77777777" w:rsidR="003D3DFB" w:rsidRDefault="003D3DFB" w:rsidP="007F5705">
      <w:pPr>
        <w:spacing w:after="0"/>
      </w:pPr>
      <w:r>
        <w:separator/>
      </w:r>
    </w:p>
  </w:footnote>
  <w:footnote w:type="continuationSeparator" w:id="0">
    <w:p w14:paraId="3E104C37" w14:textId="77777777" w:rsidR="003D3DFB" w:rsidRDefault="003D3DF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0493A3D"/>
    <w:multiLevelType w:val="hybridMultilevel"/>
    <w:tmpl w:val="E8EE8BE8"/>
    <w:lvl w:ilvl="0" w:tplc="306AB92E">
      <w:start w:val="1"/>
      <w:numFmt w:val="bullet"/>
      <w:pStyle w:val="Formatvorlage9Helvetic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1027B"/>
    <w:multiLevelType w:val="hybridMultilevel"/>
    <w:tmpl w:val="B0182ACE"/>
    <w:lvl w:ilvl="0" w:tplc="A6267C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B"/>
    <w:rsid w:val="000B255B"/>
    <w:rsid w:val="000D724A"/>
    <w:rsid w:val="000E5DD3"/>
    <w:rsid w:val="001B634D"/>
    <w:rsid w:val="002043AC"/>
    <w:rsid w:val="00213225"/>
    <w:rsid w:val="00294E03"/>
    <w:rsid w:val="00326CA9"/>
    <w:rsid w:val="00384475"/>
    <w:rsid w:val="00396D90"/>
    <w:rsid w:val="003D3DFB"/>
    <w:rsid w:val="00482C21"/>
    <w:rsid w:val="00487C2E"/>
    <w:rsid w:val="00490AF8"/>
    <w:rsid w:val="00495E59"/>
    <w:rsid w:val="004A2E77"/>
    <w:rsid w:val="00543DB1"/>
    <w:rsid w:val="00582228"/>
    <w:rsid w:val="005B616F"/>
    <w:rsid w:val="00670F8F"/>
    <w:rsid w:val="006931F4"/>
    <w:rsid w:val="006B2A51"/>
    <w:rsid w:val="006D5FD4"/>
    <w:rsid w:val="006F7FBD"/>
    <w:rsid w:val="00751A65"/>
    <w:rsid w:val="007875B1"/>
    <w:rsid w:val="007E6F98"/>
    <w:rsid w:val="007F5705"/>
    <w:rsid w:val="008926B9"/>
    <w:rsid w:val="008E43F7"/>
    <w:rsid w:val="008E7086"/>
    <w:rsid w:val="00922E7E"/>
    <w:rsid w:val="009A4D95"/>
    <w:rsid w:val="009B4900"/>
    <w:rsid w:val="00A012C6"/>
    <w:rsid w:val="00A828FC"/>
    <w:rsid w:val="00AA13C0"/>
    <w:rsid w:val="00AA5BC5"/>
    <w:rsid w:val="00B039D1"/>
    <w:rsid w:val="00B4622A"/>
    <w:rsid w:val="00B95CDC"/>
    <w:rsid w:val="00BA45B1"/>
    <w:rsid w:val="00BF550A"/>
    <w:rsid w:val="00C70110"/>
    <w:rsid w:val="00C90A51"/>
    <w:rsid w:val="00CE4B39"/>
    <w:rsid w:val="00CE54F8"/>
    <w:rsid w:val="00D64154"/>
    <w:rsid w:val="00DC52D8"/>
    <w:rsid w:val="00DE54FC"/>
    <w:rsid w:val="00E20E4C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A130F"/>
  <w15:docId w15:val="{A02B95DF-0EB6-48CC-A0A7-08C2379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  <w:style w:type="paragraph" w:customStyle="1" w:styleId="1LDSStandardBlockNach12pt">
    <w:name w:val="1_LDS Standard Block Nach: 12 pt"/>
    <w:basedOn w:val="Standard"/>
    <w:link w:val="1LDSStandardBlockNach12ptZchn"/>
    <w:rsid w:val="003D3DFB"/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3D3DFB"/>
    <w:rPr>
      <w:rFonts w:ascii="Arial" w:hAnsi="Arial"/>
      <w:sz w:val="22"/>
      <w:lang w:eastAsia="zh-CN"/>
    </w:rPr>
  </w:style>
  <w:style w:type="paragraph" w:customStyle="1" w:styleId="Formatvorlage9Helvetica">
    <w:name w:val="Formatvorlage9 + Helvetica"/>
    <w:aliases w:val="11 Pt.,Vor:  6 Pt.,Nach:  6 Pt."/>
    <w:basedOn w:val="Standard"/>
    <w:rsid w:val="00D64154"/>
    <w:pPr>
      <w:numPr>
        <w:numId w:val="20"/>
      </w:numPr>
      <w:shd w:val="clear" w:color="auto" w:fill="92D050"/>
      <w:spacing w:before="120" w:after="120"/>
      <w:jc w:val="left"/>
    </w:pPr>
    <w:rPr>
      <w:rFonts w:ascii="Helvetica" w:hAnsi="Helvetica" w:cs="Helvetic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Biniok, Patrick - LDS</dc:creator>
  <cp:lastModifiedBy>Neumann, Marco - LDS</cp:lastModifiedBy>
  <cp:revision>2</cp:revision>
  <dcterms:created xsi:type="dcterms:W3CDTF">2021-02-12T13:17:00Z</dcterms:created>
  <dcterms:modified xsi:type="dcterms:W3CDTF">2021-02-12T13:17:00Z</dcterms:modified>
</cp:coreProperties>
</file>