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6E60F" w14:textId="77777777" w:rsidR="00B4622A" w:rsidRPr="0094474C" w:rsidRDefault="00B4622A" w:rsidP="00B4622A">
      <w:pPr>
        <w:spacing w:after="0"/>
        <w:jc w:val="center"/>
        <w:rPr>
          <w:b/>
        </w:rPr>
      </w:pPr>
      <w:r>
        <w:rPr>
          <w:b/>
        </w:rPr>
        <w:t>Bekanntgabe</w:t>
      </w:r>
    </w:p>
    <w:p w14:paraId="2A24BDC5" w14:textId="77777777" w:rsidR="00B4622A" w:rsidRDefault="00B4622A" w:rsidP="00B4622A">
      <w:pPr>
        <w:spacing w:after="0"/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5E90ECC1" w14:textId="77777777" w:rsidR="00B4622A" w:rsidRDefault="00B4622A" w:rsidP="00B4622A">
      <w:pPr>
        <w:spacing w:after="0"/>
        <w:jc w:val="center"/>
        <w:rPr>
          <w:b/>
        </w:rPr>
      </w:pPr>
      <w:r>
        <w:rPr>
          <w:b/>
        </w:rPr>
        <w:t xml:space="preserve">nach </w:t>
      </w:r>
      <w:r w:rsidR="000D724A">
        <w:rPr>
          <w:b/>
        </w:rPr>
        <w:t>§ 5 Abs</w:t>
      </w:r>
      <w:r w:rsidR="002043AC">
        <w:rPr>
          <w:b/>
        </w:rPr>
        <w:t>atz</w:t>
      </w:r>
      <w:r w:rsidR="00422359">
        <w:rPr>
          <w:b/>
        </w:rPr>
        <w:t xml:space="preserve"> 2 </w:t>
      </w:r>
      <w:r w:rsidR="000D724A">
        <w:rPr>
          <w:b/>
        </w:rPr>
        <w:t>des</w:t>
      </w:r>
      <w:r>
        <w:rPr>
          <w:b/>
        </w:rPr>
        <w:t xml:space="preserve"> Gesetz</w:t>
      </w:r>
      <w:r w:rsidR="000D724A">
        <w:rPr>
          <w:b/>
        </w:rPr>
        <w:t>es</w:t>
      </w:r>
      <w:r>
        <w:rPr>
          <w:b/>
        </w:rPr>
        <w:t xml:space="preserve"> über die Umweltverträglichkeitsprüfung</w:t>
      </w:r>
    </w:p>
    <w:p w14:paraId="78D79F2C" w14:textId="3BBA09C2" w:rsidR="00B4622A" w:rsidRPr="00981D00" w:rsidRDefault="00B4622A" w:rsidP="00B4622A">
      <w:pPr>
        <w:spacing w:after="0"/>
        <w:jc w:val="center"/>
        <w:rPr>
          <w:b/>
        </w:rPr>
      </w:pPr>
      <w:r w:rsidRPr="00981D00">
        <w:rPr>
          <w:b/>
        </w:rPr>
        <w:t>für das Vorhaben</w:t>
      </w:r>
      <w:r w:rsidR="005E715C">
        <w:rPr>
          <w:b/>
        </w:rPr>
        <w:t xml:space="preserve"> </w:t>
      </w:r>
      <w:r w:rsidR="00567BE4">
        <w:rPr>
          <w:b/>
        </w:rPr>
        <w:t>Anlage 232: 110 kV-Leitung Niederkaina – Bautzen/Süd Umbau Leitungseinführung Umspannwerk (UW) Bautzen/Süd (Mast 17 bis UM Bautzen/Süd)</w:t>
      </w:r>
      <w:r>
        <w:rPr>
          <w:b/>
        </w:rPr>
        <w:t xml:space="preserve"> </w:t>
      </w:r>
    </w:p>
    <w:p w14:paraId="03024CE1" w14:textId="6D3A35C0" w:rsidR="00B4622A" w:rsidRPr="001249FE" w:rsidRDefault="00B4622A" w:rsidP="00B4622A">
      <w:pPr>
        <w:jc w:val="center"/>
        <w:rPr>
          <w:b/>
        </w:rPr>
      </w:pPr>
      <w:r>
        <w:rPr>
          <w:b/>
        </w:rPr>
        <w:t>G</w:t>
      </w:r>
      <w:r w:rsidR="001249FE">
        <w:rPr>
          <w:b/>
        </w:rPr>
        <w:t>z.:32-0522/1329/3-2021/1180161</w:t>
      </w:r>
    </w:p>
    <w:p w14:paraId="0A4C0AD0" w14:textId="56D66DD8" w:rsidR="00B4622A" w:rsidRPr="003A7176" w:rsidRDefault="00B4622A" w:rsidP="00387528">
      <w:pPr>
        <w:jc w:val="center"/>
        <w:rPr>
          <w:b/>
        </w:rPr>
      </w:pPr>
      <w:r w:rsidRPr="00981D00">
        <w:rPr>
          <w:b/>
        </w:rPr>
        <w:t xml:space="preserve">Vom </w:t>
      </w:r>
      <w:r w:rsidR="003A7176" w:rsidRPr="003A7176">
        <w:rPr>
          <w:b/>
        </w:rPr>
        <w:t>15. Oktober 2021</w:t>
      </w:r>
    </w:p>
    <w:p w14:paraId="22479473" w14:textId="77777777" w:rsidR="008E7086" w:rsidRPr="007F5705" w:rsidRDefault="008E7086" w:rsidP="008E7086">
      <w:pPr>
        <w:ind w:firstLine="567"/>
      </w:pPr>
      <w:r>
        <w:t>Di</w:t>
      </w:r>
      <w:r w:rsidR="002C1839">
        <w:t>ese Bekanntgabe erfolgt gemäß § 5 Absatz 2 Sätze </w:t>
      </w:r>
      <w:r>
        <w:t>1 bis 3 des Gesetzes über die Umweltverträglichkeitsprüfung</w:t>
      </w:r>
      <w:r w:rsidRPr="00D371B6">
        <w:t xml:space="preserve"> </w:t>
      </w:r>
      <w:r>
        <w:t>in der Fassung der Bekanntmach</w:t>
      </w:r>
      <w:r w:rsidR="002C1839">
        <w:t>ung vom 24. Februar 2010 (BGBl. </w:t>
      </w:r>
      <w:r>
        <w:t xml:space="preserve">I S. 94), das zuletzt durch </w:t>
      </w:r>
      <w:r w:rsidR="002C1839">
        <w:t xml:space="preserve">Artikel 2 des Gesetzes vom </w:t>
      </w:r>
      <w:r w:rsidR="008C56DD">
        <w:t>12</w:t>
      </w:r>
      <w:r w:rsidR="002C1839">
        <w:t>. </w:t>
      </w:r>
      <w:r w:rsidR="008C56DD">
        <w:t>Dez</w:t>
      </w:r>
      <w:r>
        <w:t>em</w:t>
      </w:r>
      <w:r w:rsidR="007875B1">
        <w:t>ber 201</w:t>
      </w:r>
      <w:r w:rsidR="008C56DD">
        <w:t>9</w:t>
      </w:r>
      <w:r w:rsidR="002C1839">
        <w:t xml:space="preserve"> (BGBl. </w:t>
      </w:r>
      <w:r w:rsidR="007875B1">
        <w:t>I S. </w:t>
      </w:r>
      <w:r w:rsidR="008C56DD">
        <w:t>2513</w:t>
      </w:r>
      <w:r w:rsidR="008A393E">
        <w:t>)</w:t>
      </w:r>
      <w:r>
        <w:t xml:space="preserve"> geändert worden ist.</w:t>
      </w:r>
    </w:p>
    <w:p w14:paraId="06E53735" w14:textId="34A0A519" w:rsidR="00B4622A" w:rsidRPr="005E715C" w:rsidRDefault="00B4622A" w:rsidP="00387528">
      <w:pPr>
        <w:spacing w:before="240"/>
        <w:ind w:firstLine="567"/>
      </w:pPr>
      <w:r w:rsidRPr="00CB205E">
        <w:t xml:space="preserve">Die </w:t>
      </w:r>
      <w:r w:rsidR="00567BE4">
        <w:t>SachsenNetze HS.HD GmbH hat als Vertreter für die SachsenEnergie AG</w:t>
      </w:r>
      <w:r>
        <w:t xml:space="preserve"> </w:t>
      </w:r>
      <w:r w:rsidRPr="00CB205E">
        <w:t xml:space="preserve">bei der Landesdirektion </w:t>
      </w:r>
      <w:r>
        <w:t xml:space="preserve">Sachsen mit Schreiben vom </w:t>
      </w:r>
      <w:r w:rsidR="00567BE4">
        <w:t xml:space="preserve">2. September 2021 </w:t>
      </w:r>
      <w:r w:rsidRPr="005E715C">
        <w:rPr>
          <w:rFonts w:cs="Arial"/>
          <w:szCs w:val="22"/>
        </w:rPr>
        <w:t>die Feststellung beantragt, ob für das Vorhaben eine Verpflichtung zur Durchführung einer Umweltverträglichkeitsprüfung besteht.</w:t>
      </w:r>
      <w:r w:rsidR="00387528" w:rsidRPr="005E715C">
        <w:t xml:space="preserve"> </w:t>
      </w:r>
    </w:p>
    <w:p w14:paraId="228392EB" w14:textId="7FC10622" w:rsidR="00B4622A" w:rsidRDefault="00B4622A" w:rsidP="00387528">
      <w:pPr>
        <w:spacing w:before="240"/>
        <w:ind w:firstLine="567"/>
      </w:pPr>
      <w:r>
        <w:t>Das Vorhaben</w:t>
      </w:r>
      <w:r w:rsidR="005E715C">
        <w:t xml:space="preserve"> </w:t>
      </w:r>
      <w:r w:rsidR="005E715C" w:rsidRPr="005E715C">
        <w:t>“Anlage 232: 110 kV-Leitung Niederkaina – Bautzen/Süd Umbau Leitungseinführung Umspannwerk (UW) Bautzen/Süd (Mast 17 bis UM Bautzen/Süd)</w:t>
      </w:r>
      <w:r w:rsidR="005E715C">
        <w:t>“</w:t>
      </w:r>
      <w:r w:rsidR="005E715C">
        <w:rPr>
          <w:b/>
        </w:rPr>
        <w:t xml:space="preserve"> </w:t>
      </w:r>
      <w:r>
        <w:t>fällt in den Anwendungsbereich des Gesetzes über die Umwelt</w:t>
      </w:r>
      <w:r w:rsidR="00751A65">
        <w:t>verträglichkeitsprüfung. Dementsprechend</w:t>
      </w:r>
      <w:r>
        <w:t xml:space="preserve"> </w:t>
      </w:r>
      <w:r w:rsidR="006B2A51">
        <w:t>hat</w:t>
      </w:r>
      <w:r w:rsidRPr="00DD59B6">
        <w:t xml:space="preserve"> die Landesdirektion </w:t>
      </w:r>
      <w:r>
        <w:t>Sachsen</w:t>
      </w:r>
      <w:r w:rsidRPr="00DD59B6">
        <w:t xml:space="preserve"> eine </w:t>
      </w:r>
      <w:r w:rsidR="00E208E6">
        <w:t xml:space="preserve">standortbezogene </w:t>
      </w:r>
      <w:r w:rsidRPr="00AF3B12">
        <w:t>V</w:t>
      </w:r>
      <w:r>
        <w:t>orprüfung des Einzelfalls</w:t>
      </w:r>
      <w:r w:rsidRPr="00DD59B6">
        <w:t xml:space="preserve"> </w:t>
      </w:r>
      <w:r w:rsidR="006B2A51">
        <w:t>vorgenommen</w:t>
      </w:r>
      <w:r w:rsidRPr="00DD59B6">
        <w:t>.</w:t>
      </w:r>
    </w:p>
    <w:p w14:paraId="328EC45F" w14:textId="232CF73B" w:rsidR="00866FBF" w:rsidRPr="005E715C" w:rsidRDefault="00E721DA" w:rsidP="005E715C">
      <w:pPr>
        <w:spacing w:before="240"/>
        <w:ind w:firstLine="567"/>
        <w:rPr>
          <w:color w:val="0070C0"/>
        </w:rPr>
      </w:pPr>
      <w:r w:rsidRPr="00E721DA">
        <w:t>Im Rahmen dieser Vorprüfung wurde</w:t>
      </w:r>
      <w:r w:rsidR="00B4622A">
        <w:t xml:space="preserve"> </w:t>
      </w:r>
      <w:r>
        <w:t>festgestellt</w:t>
      </w:r>
      <w:r w:rsidR="00B4622A" w:rsidRPr="00DD59B6">
        <w:t>, dass</w:t>
      </w:r>
      <w:r w:rsidR="00B4622A">
        <w:t xml:space="preserve"> k</w:t>
      </w:r>
      <w:r w:rsidR="00B4622A" w:rsidRPr="00DD59B6">
        <w:t xml:space="preserve">eine </w:t>
      </w:r>
      <w:r w:rsidR="006B2A51">
        <w:t>Pflicht</w:t>
      </w:r>
      <w:r w:rsidR="00B4622A" w:rsidRPr="00DD59B6">
        <w:t xml:space="preserve"> zur Durchführung einer Umweltverträglichkeits</w:t>
      </w:r>
      <w:r w:rsidR="00B4622A">
        <w:t xml:space="preserve">prüfung besteht. </w:t>
      </w:r>
      <w:r w:rsidR="006B2A51">
        <w:t>Das</w:t>
      </w:r>
      <w:r w:rsidR="00B4622A" w:rsidRPr="00DD59B6">
        <w:t xml:space="preserve"> Vorhaben</w:t>
      </w:r>
      <w:r w:rsidR="00B4622A">
        <w:t xml:space="preserve"> </w:t>
      </w:r>
      <w:r w:rsidR="006B2A51">
        <w:t xml:space="preserve">hat </w:t>
      </w:r>
      <w:r w:rsidR="00B4622A" w:rsidRPr="00DD59B6">
        <w:t xml:space="preserve">keine erheblichen nachteiligen Umweltauswirkungen </w:t>
      </w:r>
      <w:r w:rsidR="00B4622A">
        <w:t xml:space="preserve">auf die Umweltschutzgüter, die nach dem </w:t>
      </w:r>
      <w:r w:rsidR="007875B1" w:rsidRPr="007875B1">
        <w:t xml:space="preserve">Gesetz über die Umweltverträglichkeitsprüfung </w:t>
      </w:r>
      <w:r w:rsidR="00F60159">
        <w:t xml:space="preserve">bei der Zulassungsentscheidung </w:t>
      </w:r>
      <w:r w:rsidR="00B4622A">
        <w:t>zu berücksichtigen</w:t>
      </w:r>
      <w:r w:rsidR="00F60159">
        <w:t xml:space="preserve"> wären</w:t>
      </w:r>
      <w:r w:rsidR="00B4622A">
        <w:t>.</w:t>
      </w:r>
      <w:r w:rsidR="006B2A51">
        <w:t xml:space="preserve"> </w:t>
      </w:r>
      <w:r w:rsidR="00326CA9">
        <w:t>Für diese Einschätzung</w:t>
      </w:r>
      <w:r w:rsidR="005E715C">
        <w:t xml:space="preserve"> </w:t>
      </w:r>
      <w:r w:rsidR="00326CA9" w:rsidRPr="005E715C">
        <w:t>sind folgende</w:t>
      </w:r>
      <w:r w:rsidR="00B4622A" w:rsidRPr="005E715C">
        <w:t xml:space="preserve"> wesentliche</w:t>
      </w:r>
      <w:r w:rsidR="005E715C">
        <w:t xml:space="preserve"> Gründe</w:t>
      </w:r>
      <w:r w:rsidR="00B4622A" w:rsidRPr="005E715C">
        <w:t xml:space="preserve"> </w:t>
      </w:r>
      <w:r w:rsidR="00326CA9" w:rsidRPr="00326CA9">
        <w:t>maßgebend:</w:t>
      </w:r>
      <w:r w:rsidR="000D724A" w:rsidRPr="00326CA9">
        <w:t xml:space="preserve"> </w:t>
      </w:r>
    </w:p>
    <w:p w14:paraId="6977AA53" w14:textId="229B62CF" w:rsidR="00866FBF" w:rsidRPr="005E715C" w:rsidRDefault="00866FBF" w:rsidP="00866FBF">
      <w:pPr>
        <w:tabs>
          <w:tab w:val="left" w:pos="284"/>
        </w:tabs>
        <w:spacing w:before="240"/>
        <w:ind w:left="851" w:hanging="284"/>
      </w:pPr>
      <w:r w:rsidRPr="005E715C">
        <w:rPr>
          <w:i/>
        </w:rPr>
        <w:t>-</w:t>
      </w:r>
      <w:r w:rsidRPr="005E715C">
        <w:rPr>
          <w:i/>
        </w:rPr>
        <w:tab/>
      </w:r>
      <w:r w:rsidR="005E715C" w:rsidRPr="005E715C">
        <w:t>Im Wirkungsbereich des Vorhabens sind keine Beeinträchtigungen von</w:t>
      </w:r>
    </w:p>
    <w:p w14:paraId="2ECE320E" w14:textId="77777777" w:rsidR="00866FBF" w:rsidRPr="005E715C" w:rsidRDefault="00866FBF" w:rsidP="00866FBF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5E715C">
        <w:t>Natura 2000-Gebiete,</w:t>
      </w:r>
    </w:p>
    <w:p w14:paraId="37631F40" w14:textId="77777777" w:rsidR="00866FBF" w:rsidRPr="005E715C" w:rsidRDefault="00866FBF" w:rsidP="00866FBF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5E715C">
        <w:t>Naturschutzgebiete,</w:t>
      </w:r>
    </w:p>
    <w:p w14:paraId="70B29DC2" w14:textId="77777777" w:rsidR="00866FBF" w:rsidRPr="005E715C" w:rsidRDefault="00866FBF" w:rsidP="00866FBF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5E715C">
        <w:t>Nationalparke und Nationale Naturmonumente,</w:t>
      </w:r>
    </w:p>
    <w:p w14:paraId="0F5B0E92" w14:textId="77777777" w:rsidR="00866FBF" w:rsidRPr="005E715C" w:rsidRDefault="00866FBF" w:rsidP="00866FBF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5E715C">
        <w:t>Biosphärenreservate und Landschaftsschutzgebiete,</w:t>
      </w:r>
    </w:p>
    <w:p w14:paraId="334AAA84" w14:textId="77777777" w:rsidR="00866FBF" w:rsidRPr="005E715C" w:rsidRDefault="00866FBF" w:rsidP="00866FBF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5E715C">
        <w:t>Naturdenkmäler,</w:t>
      </w:r>
    </w:p>
    <w:p w14:paraId="07D3E285" w14:textId="35CA49CC" w:rsidR="00866FBF" w:rsidRPr="005E715C" w:rsidRDefault="00866FBF" w:rsidP="005E715C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5E715C">
        <w:t>geschützte Landschaftsbestandteile, einschließlich Alleen,</w:t>
      </w:r>
    </w:p>
    <w:p w14:paraId="66A5B02D" w14:textId="57687FBB" w:rsidR="00866FBF" w:rsidRPr="005E715C" w:rsidRDefault="00866FBF" w:rsidP="00866FBF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5E715C">
        <w:t>Wasserschutzgebiete, Heilquellenschutzgebiete, Risikogebie</w:t>
      </w:r>
      <w:r w:rsidR="005E715C" w:rsidRPr="005E715C">
        <w:t>te sowie Überschwemmungsgebiete</w:t>
      </w:r>
    </w:p>
    <w:p w14:paraId="186CC136" w14:textId="2C7DF871" w:rsidR="00866FBF" w:rsidRPr="005E715C" w:rsidRDefault="002C042B" w:rsidP="005E715C">
      <w:pPr>
        <w:pStyle w:val="Listenabsatz"/>
        <w:tabs>
          <w:tab w:val="left" w:pos="567"/>
        </w:tabs>
        <w:spacing w:before="240" w:after="240"/>
        <w:ind w:left="1135"/>
      </w:pPr>
      <w:r w:rsidRPr="005E715C">
        <w:t xml:space="preserve">und </w:t>
      </w:r>
    </w:p>
    <w:p w14:paraId="5FFC0847" w14:textId="39490681" w:rsidR="00866FBF" w:rsidRPr="005E715C" w:rsidRDefault="00866FBF" w:rsidP="00866FBF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5E715C">
        <w:t>in amtlichen Listen oder Karten verzeichnete Denkmäler, Denkmalensembles, Bodendenkmäler oder Gebiete, die von der durch die Länder bestimmten Denkmalschutzbehörde als archäologisch bedeutende Landschaften eingestuft worden sind</w:t>
      </w:r>
    </w:p>
    <w:p w14:paraId="418B5FA0" w14:textId="1AE05205" w:rsidR="005E715C" w:rsidRPr="005E715C" w:rsidRDefault="005E715C" w:rsidP="005E715C">
      <w:pPr>
        <w:pStyle w:val="Listenabsatz"/>
        <w:tabs>
          <w:tab w:val="left" w:pos="567"/>
        </w:tabs>
        <w:spacing w:before="240" w:after="240"/>
        <w:ind w:left="1135"/>
      </w:pPr>
    </w:p>
    <w:p w14:paraId="79A22DB4" w14:textId="414BC69F" w:rsidR="005E715C" w:rsidRDefault="005E715C" w:rsidP="005E715C">
      <w:pPr>
        <w:pStyle w:val="Listenabsatz"/>
        <w:tabs>
          <w:tab w:val="left" w:pos="567"/>
        </w:tabs>
        <w:spacing w:before="240" w:after="240"/>
        <w:ind w:left="1135"/>
        <w:rPr>
          <w:color w:val="0070C0"/>
        </w:rPr>
      </w:pPr>
      <w:r w:rsidRPr="005E715C">
        <w:t>zu erwarten da sie in ausreichender Entfernung zum Vorhaben liegen.</w:t>
      </w:r>
    </w:p>
    <w:p w14:paraId="25072278" w14:textId="5265DC5B" w:rsidR="000A2F87" w:rsidRDefault="0006469B" w:rsidP="000A2F87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 w:rsidR="000A2F87">
        <w:rPr>
          <w:rFonts w:cs="Arial"/>
          <w:szCs w:val="22"/>
        </w:rPr>
        <w:t xml:space="preserve">Mast 17 grenzt an ein nach § 30 BNatSchG i. V. mit § 21 SächsNatSchG geschützte Streuobstwiese an die nach der Schwenkung des Spannfeldes </w:t>
      </w:r>
      <w:r>
        <w:rPr>
          <w:rFonts w:cs="Arial"/>
          <w:szCs w:val="22"/>
        </w:rPr>
        <w:t>nur noch randlich</w:t>
      </w:r>
      <w:r w:rsidR="000A2F87">
        <w:rPr>
          <w:rFonts w:cs="Arial"/>
          <w:szCs w:val="22"/>
        </w:rPr>
        <w:t xml:space="preserve"> überspan</w:t>
      </w:r>
      <w:r>
        <w:rPr>
          <w:rFonts w:cs="Arial"/>
          <w:szCs w:val="22"/>
        </w:rPr>
        <w:t>nt wird, was zu einer Entlastung des Biotops führt. Darüber hinaus wachsen die vorhandenen Obstbäume</w:t>
      </w:r>
      <w:r w:rsidR="000A2F87">
        <w:rPr>
          <w:rFonts w:cs="Arial"/>
          <w:szCs w:val="22"/>
        </w:rPr>
        <w:t xml:space="preserve"> nicht in die für die Leitung relevanten S</w:t>
      </w:r>
      <w:r>
        <w:rPr>
          <w:rFonts w:cs="Arial"/>
          <w:szCs w:val="22"/>
        </w:rPr>
        <w:t xml:space="preserve">icherheitsbereiche hinein. Eine </w:t>
      </w:r>
      <w:r w:rsidR="000A2F87">
        <w:rPr>
          <w:rFonts w:cs="Arial"/>
          <w:szCs w:val="22"/>
        </w:rPr>
        <w:t xml:space="preserve">Betroffenheit des Biotops </w:t>
      </w:r>
      <w:r>
        <w:rPr>
          <w:rFonts w:cs="Arial"/>
          <w:szCs w:val="22"/>
        </w:rPr>
        <w:t xml:space="preserve">kann </w:t>
      </w:r>
      <w:r w:rsidR="000A2F87">
        <w:rPr>
          <w:rFonts w:cs="Arial"/>
          <w:szCs w:val="22"/>
        </w:rPr>
        <w:t>ausgeschlossen werden.</w:t>
      </w:r>
      <w:r w:rsidRPr="0006469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Nördlich des Vorhabens befindet sich ein weiteres Biotop (Röhricht), das jedoch durch die Verschwenkung des Spannfeldes sowie durch die Zufahrt- und Montageflächen nicht betroffen ist.</w:t>
      </w:r>
    </w:p>
    <w:p w14:paraId="7AE6EABE" w14:textId="1C7CA91A" w:rsidR="0006469B" w:rsidRDefault="0006469B" w:rsidP="000A2F87">
      <w:pPr>
        <w:rPr>
          <w:szCs w:val="22"/>
        </w:rPr>
      </w:pPr>
      <w:r>
        <w:rPr>
          <w:szCs w:val="22"/>
        </w:rPr>
        <w:lastRenderedPageBreak/>
        <w:tab/>
        <w:t>Im 500 m Umkreis befindet sich das Boblitzer Wasser/Albrechtsbach, dessen Zustand als „nicht gut“ eingestuft ist. Durch das Vorhaben ist eine weitere Verschlechterung des chemischen Wasserzustandes jedoch auszuschließen, da das Vorhaben keinen Bezug zum Schutzgut aufweist.</w:t>
      </w:r>
    </w:p>
    <w:p w14:paraId="75700975" w14:textId="602E1F32" w:rsidR="0006469B" w:rsidRDefault="0006469B" w:rsidP="000A2F87">
      <w:pPr>
        <w:rPr>
          <w:rFonts w:cs="Arial"/>
          <w:szCs w:val="22"/>
        </w:rPr>
      </w:pPr>
      <w:r>
        <w:rPr>
          <w:rFonts w:cs="Arial"/>
          <w:szCs w:val="22"/>
        </w:rPr>
        <w:tab/>
        <w:t>Das Vorhaben liegt am südlichen Rand der Kreisstadt Bautzen. Dem Ziel der Weiterentwicklung des Oberzentrums steht das Vorhaben nicht entgegen</w:t>
      </w:r>
    </w:p>
    <w:p w14:paraId="5F148F5E" w14:textId="4D2CC70B" w:rsidR="00192792" w:rsidRPr="00651DA8" w:rsidRDefault="00192792" w:rsidP="00192792">
      <w:pPr>
        <w:spacing w:after="200" w:line="276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ab/>
      </w:r>
      <w:r w:rsidRPr="00651DA8">
        <w:rPr>
          <w:rFonts w:eastAsiaTheme="minorHAnsi" w:cs="Arial"/>
          <w:szCs w:val="22"/>
          <w:lang w:eastAsia="en-US"/>
        </w:rPr>
        <w:t>Diese Feststellung ist nicht selbstständig anfechtbar</w:t>
      </w:r>
      <w:r>
        <w:rPr>
          <w:rFonts w:eastAsiaTheme="minorHAnsi" w:cs="Arial"/>
          <w:szCs w:val="22"/>
          <w:lang w:eastAsia="en-US"/>
        </w:rPr>
        <w:t xml:space="preserve"> (§ 5 Absatz 3 </w:t>
      </w:r>
      <w:r>
        <w:t>Gesetz</w:t>
      </w:r>
      <w:r w:rsidRPr="004D5435">
        <w:t xml:space="preserve"> über die Umweltverträglichkeitsprüfung</w:t>
      </w:r>
      <w:r>
        <w:rPr>
          <w:rFonts w:eastAsiaTheme="minorHAnsi" w:cs="Arial"/>
          <w:szCs w:val="22"/>
          <w:lang w:eastAsia="en-US"/>
        </w:rPr>
        <w:t>).</w:t>
      </w:r>
    </w:p>
    <w:p w14:paraId="06807C1D" w14:textId="73C15D3E" w:rsidR="00192792" w:rsidRDefault="00192792" w:rsidP="00192792">
      <w:r>
        <w:tab/>
      </w:r>
      <w:r w:rsidRPr="00436F37">
        <w:t>Die entscheidungsrelevanten Unterlagen sind der Öffentlichkeit gemäß den Bestimmungen des Umweltinformationsgesetzes für den Freistaat Sachsen vom 1. Juni 2006 (SächsGVBl. S. 146), das zuletzt durch Artikel </w:t>
      </w:r>
      <w:r>
        <w:t>2 Absatz 25</w:t>
      </w:r>
      <w:r w:rsidRPr="00436F37">
        <w:t xml:space="preserve"> des Gesetzes vom </w:t>
      </w:r>
      <w:r>
        <w:t>5. April 2019</w:t>
      </w:r>
      <w:r w:rsidRPr="00436F37">
        <w:t xml:space="preserve"> (SächsGVBl. S. </w:t>
      </w:r>
      <w:r>
        <w:t>245</w:t>
      </w:r>
      <w:r w:rsidRPr="00436F37">
        <w:t>) geändert worden ist, in der Landesdirektion Sachsen, Dienststelle Dresden, Referat 32, Stauffenbergallee 2, 01099 Dresden, zugänglich.</w:t>
      </w:r>
      <w:bookmarkStart w:id="0" w:name="_GoBack"/>
      <w:bookmarkEnd w:id="0"/>
    </w:p>
    <w:p w14:paraId="1D8D70FD" w14:textId="18F1E661" w:rsidR="00192792" w:rsidRDefault="00192792" w:rsidP="00192792">
      <w:r>
        <w:t xml:space="preserve">Dresden, den </w:t>
      </w:r>
      <w:r w:rsidR="003A7176">
        <w:t>15. Oktober 2021</w:t>
      </w:r>
    </w:p>
    <w:p w14:paraId="56346031" w14:textId="77777777" w:rsidR="00192792" w:rsidRDefault="00192792" w:rsidP="00192792"/>
    <w:p w14:paraId="325B202D" w14:textId="77777777" w:rsidR="00192792" w:rsidRDefault="00192792" w:rsidP="003A7176">
      <w:pPr>
        <w:spacing w:after="0"/>
        <w:jc w:val="center"/>
      </w:pPr>
      <w:r>
        <w:t>Holger Keune</w:t>
      </w:r>
    </w:p>
    <w:p w14:paraId="6CEE3929" w14:textId="77777777" w:rsidR="00192792" w:rsidRDefault="00192792" w:rsidP="003A7176">
      <w:pPr>
        <w:spacing w:after="0"/>
        <w:jc w:val="center"/>
      </w:pPr>
      <w:r>
        <w:t>Referatsleiter Planfeststellung</w:t>
      </w:r>
    </w:p>
    <w:p w14:paraId="0A13B96F" w14:textId="77777777" w:rsidR="00192792" w:rsidRPr="00436F37" w:rsidRDefault="00192792" w:rsidP="00192792">
      <w:pPr>
        <w:jc w:val="center"/>
      </w:pPr>
    </w:p>
    <w:sectPr w:rsidR="00192792" w:rsidRPr="00436F37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46185" w14:textId="77777777" w:rsidR="006C1C25" w:rsidRDefault="006C1C25" w:rsidP="007F5705">
      <w:pPr>
        <w:spacing w:after="0"/>
      </w:pPr>
      <w:r>
        <w:separator/>
      </w:r>
    </w:p>
  </w:endnote>
  <w:endnote w:type="continuationSeparator" w:id="0">
    <w:p w14:paraId="5D783560" w14:textId="77777777" w:rsidR="006C1C25" w:rsidRDefault="006C1C25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BB8FB" w14:textId="77777777" w:rsidR="006C1C25" w:rsidRDefault="006C1C25" w:rsidP="007F5705">
      <w:pPr>
        <w:spacing w:after="0"/>
      </w:pPr>
      <w:r>
        <w:separator/>
      </w:r>
    </w:p>
  </w:footnote>
  <w:footnote w:type="continuationSeparator" w:id="0">
    <w:p w14:paraId="10BAF59B" w14:textId="77777777" w:rsidR="006C1C25" w:rsidRDefault="006C1C25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A21E6"/>
    <w:multiLevelType w:val="hybridMultilevel"/>
    <w:tmpl w:val="D3E8052E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7665905"/>
    <w:multiLevelType w:val="hybridMultilevel"/>
    <w:tmpl w:val="D680703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8"/>
  </w:num>
  <w:num w:numId="17">
    <w:abstractNumId w:val="15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36"/>
    <w:rsid w:val="0006469B"/>
    <w:rsid w:val="00072205"/>
    <w:rsid w:val="000A2F87"/>
    <w:rsid w:val="000B255B"/>
    <w:rsid w:val="000D724A"/>
    <w:rsid w:val="000E17FC"/>
    <w:rsid w:val="000E5DD3"/>
    <w:rsid w:val="001249FE"/>
    <w:rsid w:val="00192792"/>
    <w:rsid w:val="001B634D"/>
    <w:rsid w:val="00202509"/>
    <w:rsid w:val="002043AC"/>
    <w:rsid w:val="00213225"/>
    <w:rsid w:val="0022759B"/>
    <w:rsid w:val="00243788"/>
    <w:rsid w:val="002C042B"/>
    <w:rsid w:val="002C1839"/>
    <w:rsid w:val="002F569A"/>
    <w:rsid w:val="00326CA9"/>
    <w:rsid w:val="00327D82"/>
    <w:rsid w:val="00387528"/>
    <w:rsid w:val="00396D90"/>
    <w:rsid w:val="003A7176"/>
    <w:rsid w:val="0040040A"/>
    <w:rsid w:val="00422359"/>
    <w:rsid w:val="004365E1"/>
    <w:rsid w:val="00482C21"/>
    <w:rsid w:val="00487C2E"/>
    <w:rsid w:val="00490AF8"/>
    <w:rsid w:val="004A2E77"/>
    <w:rsid w:val="00543DB1"/>
    <w:rsid w:val="00567BE4"/>
    <w:rsid w:val="005E715C"/>
    <w:rsid w:val="00646636"/>
    <w:rsid w:val="006931F4"/>
    <w:rsid w:val="006B2A51"/>
    <w:rsid w:val="006C1C25"/>
    <w:rsid w:val="006F7FBD"/>
    <w:rsid w:val="00703A9B"/>
    <w:rsid w:val="00751A65"/>
    <w:rsid w:val="007875B1"/>
    <w:rsid w:val="007E6F98"/>
    <w:rsid w:val="007F5705"/>
    <w:rsid w:val="00866FBF"/>
    <w:rsid w:val="008926B9"/>
    <w:rsid w:val="008A393E"/>
    <w:rsid w:val="008B7342"/>
    <w:rsid w:val="008C56DD"/>
    <w:rsid w:val="008D6A2E"/>
    <w:rsid w:val="008E43F7"/>
    <w:rsid w:val="008E7086"/>
    <w:rsid w:val="00922E7E"/>
    <w:rsid w:val="009A4D95"/>
    <w:rsid w:val="009B4900"/>
    <w:rsid w:val="009B7F43"/>
    <w:rsid w:val="00A012C6"/>
    <w:rsid w:val="00A37483"/>
    <w:rsid w:val="00A71434"/>
    <w:rsid w:val="00A828FC"/>
    <w:rsid w:val="00AA13C0"/>
    <w:rsid w:val="00AA5BC5"/>
    <w:rsid w:val="00AB7F36"/>
    <w:rsid w:val="00AF2A3C"/>
    <w:rsid w:val="00B009BC"/>
    <w:rsid w:val="00B16137"/>
    <w:rsid w:val="00B4622A"/>
    <w:rsid w:val="00B95CDC"/>
    <w:rsid w:val="00BC1297"/>
    <w:rsid w:val="00BC1BE5"/>
    <w:rsid w:val="00BF550A"/>
    <w:rsid w:val="00C17349"/>
    <w:rsid w:val="00C70110"/>
    <w:rsid w:val="00C90A51"/>
    <w:rsid w:val="00C94DD7"/>
    <w:rsid w:val="00CB30CD"/>
    <w:rsid w:val="00CD69F6"/>
    <w:rsid w:val="00CE4B39"/>
    <w:rsid w:val="00CE54F8"/>
    <w:rsid w:val="00D059FB"/>
    <w:rsid w:val="00D752E9"/>
    <w:rsid w:val="00D94D4D"/>
    <w:rsid w:val="00DE54FC"/>
    <w:rsid w:val="00E208E6"/>
    <w:rsid w:val="00E56BAD"/>
    <w:rsid w:val="00E6085B"/>
    <w:rsid w:val="00E65621"/>
    <w:rsid w:val="00E721DA"/>
    <w:rsid w:val="00EE4E1E"/>
    <w:rsid w:val="00EF2C0F"/>
    <w:rsid w:val="00EF5630"/>
    <w:rsid w:val="00F04A86"/>
    <w:rsid w:val="00F60159"/>
    <w:rsid w:val="00FC4FE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468EF"/>
  <w15:docId w15:val="{BD5DFD7A-E91D-46FC-BCBC-9C99BAC9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rsid w:val="00543DB1"/>
    <w:rPr>
      <w:rFonts w:ascii="Arial" w:hAnsi="Arial"/>
      <w:sz w:val="22"/>
    </w:rPr>
  </w:style>
  <w:style w:type="character" w:styleId="HTMLVariable">
    <w:name w:val="HTML Variable"/>
    <w:rsid w:val="00543DB1"/>
    <w:rPr>
      <w:rFonts w:ascii="Arial" w:hAnsi="Arial"/>
      <w:i/>
      <w:iCs/>
      <w:sz w:val="22"/>
    </w:rPr>
  </w:style>
  <w:style w:type="character" w:styleId="Hyperlink">
    <w:name w:val="Hyperlink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rsid w:val="00543DB1"/>
    <w:rPr>
      <w:rFonts w:ascii="Arial" w:hAnsi="Arial"/>
      <w:i/>
      <w:iCs/>
    </w:rPr>
  </w:style>
  <w:style w:type="character" w:styleId="HTMLZitat">
    <w:name w:val="HTML Cite"/>
    <w:rsid w:val="00487C2E"/>
    <w:rPr>
      <w:rFonts w:ascii="Arial" w:hAnsi="Arial"/>
      <w:i/>
      <w:iCs/>
    </w:rPr>
  </w:style>
  <w:style w:type="character" w:styleId="Seitenzahl">
    <w:name w:val="page number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daten\32%20-%20AG%20Vereinheitlichung\UVP-VP\Muster%20abstrahiert\1.1.4.1%20-%20UVP-VP%20Bekanntgabe%20keine%20UVP-Pflicht_23.01.2018%20R%204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1.1.4.1 - UVP-VP Bekanntgabe keine UVP-Pflicht_23.01.2018 R 46.dotx</Template>
  <TotalTime>0</TotalTime>
  <Pages>2</Pages>
  <Words>486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claus-peter.susok</dc:creator>
  <cp:lastModifiedBy>Storch, Sabine - LDS</cp:lastModifiedBy>
  <cp:revision>3</cp:revision>
  <dcterms:created xsi:type="dcterms:W3CDTF">2021-10-18T06:53:00Z</dcterms:created>
  <dcterms:modified xsi:type="dcterms:W3CDTF">2021-10-18T08:23:00Z</dcterms:modified>
</cp:coreProperties>
</file>