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2C" w:rsidRDefault="00D6662C" w:rsidP="00D6662C">
      <w:pPr>
        <w:keepNext/>
        <w:jc w:val="center"/>
        <w:rPr>
          <w:rFonts w:ascii="Arial" w:hAnsi="Arial" w:cs="Arial"/>
          <w:b/>
          <w:szCs w:val="22"/>
        </w:rPr>
      </w:pPr>
      <w:r>
        <w:rPr>
          <w:rFonts w:ascii="Arial" w:hAnsi="Arial" w:cs="Arial"/>
          <w:b/>
          <w:szCs w:val="22"/>
        </w:rPr>
        <w:t>Bekanntmachung</w:t>
      </w:r>
    </w:p>
    <w:p w:rsidR="00D6662C" w:rsidRDefault="00D6662C" w:rsidP="00D6662C">
      <w:pPr>
        <w:keepNext/>
        <w:jc w:val="center"/>
        <w:rPr>
          <w:rFonts w:ascii="Arial" w:hAnsi="Arial" w:cs="Arial"/>
          <w:b/>
          <w:szCs w:val="22"/>
        </w:rPr>
      </w:pPr>
    </w:p>
    <w:p w:rsidR="00D6662C" w:rsidRDefault="00D6662C" w:rsidP="00D6662C">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„Neubau B 7, Verlegung nördlich </w:t>
      </w:r>
      <w:proofErr w:type="spellStart"/>
      <w:r>
        <w:rPr>
          <w:rFonts w:ascii="Arial" w:hAnsi="Arial" w:cs="Arial"/>
          <w:b/>
          <w:szCs w:val="22"/>
        </w:rPr>
        <w:t>Frohburg</w:t>
      </w:r>
      <w:proofErr w:type="spellEnd"/>
      <w:r>
        <w:rPr>
          <w:rFonts w:ascii="Arial" w:hAnsi="Arial" w:cs="Arial"/>
          <w:b/>
          <w:szCs w:val="22"/>
        </w:rPr>
        <w:t>“</w:t>
      </w:r>
    </w:p>
    <w:p w:rsidR="00D6662C" w:rsidRDefault="00D6662C" w:rsidP="00D6662C">
      <w:pPr>
        <w:keepNext/>
        <w:jc w:val="center"/>
        <w:rPr>
          <w:rFonts w:ascii="Arial" w:hAnsi="Arial" w:cs="Arial"/>
          <w:b/>
          <w:szCs w:val="22"/>
        </w:rPr>
      </w:pPr>
    </w:p>
    <w:p w:rsidR="00D6662C" w:rsidRDefault="00D6662C" w:rsidP="00D6662C">
      <w:pPr>
        <w:keepNext/>
        <w:spacing w:after="240"/>
        <w:jc w:val="both"/>
        <w:rPr>
          <w:rFonts w:ascii="Arial" w:hAnsi="Arial" w:cs="Arial"/>
          <w:szCs w:val="22"/>
        </w:rPr>
      </w:pPr>
      <w:r>
        <w:rPr>
          <w:rFonts w:ascii="Arial" w:hAnsi="Arial" w:cs="Arial"/>
          <w:szCs w:val="22"/>
        </w:rPr>
        <w:t xml:space="preserve">Handelnd in Bundesauftragsverwaltung hat der Freistaat Sachsen, vertreten durch die DEGES Deutsche Einheit Fernstraßenplanungs- und -bau GmbH für das o. g. Bauvorhaben die Durchführung des Planfeststellungsverfahrens beantragt. </w:t>
      </w:r>
    </w:p>
    <w:p w:rsidR="00D6662C" w:rsidRDefault="00D6662C" w:rsidP="00D6662C">
      <w:pPr>
        <w:keepNext/>
        <w:spacing w:after="240"/>
        <w:jc w:val="both"/>
        <w:rPr>
          <w:rFonts w:ascii="Arial" w:hAnsi="Arial" w:cs="Arial"/>
          <w:szCs w:val="22"/>
        </w:rPr>
      </w:pPr>
      <w:r>
        <w:rPr>
          <w:rFonts w:ascii="Arial" w:hAnsi="Arial" w:cs="Arial"/>
          <w:szCs w:val="22"/>
        </w:rPr>
        <w:t xml:space="preserve">Die Straßenbauverwaltungen der Freistaaten Thüringen und Sachsen planen die verkehrsgerechte Erweiterung bzw. Verlegung der B 7 zwischen Altenburg und </w:t>
      </w:r>
      <w:proofErr w:type="spellStart"/>
      <w:r>
        <w:rPr>
          <w:rFonts w:ascii="Arial" w:hAnsi="Arial" w:cs="Arial"/>
          <w:szCs w:val="22"/>
        </w:rPr>
        <w:t>Frohburg</w:t>
      </w:r>
      <w:proofErr w:type="spellEnd"/>
      <w:r>
        <w:rPr>
          <w:rFonts w:ascii="Arial" w:hAnsi="Arial" w:cs="Arial"/>
          <w:szCs w:val="22"/>
        </w:rPr>
        <w:t xml:space="preserve"> in mehreren Teilabschnitten.</w:t>
      </w:r>
    </w:p>
    <w:p w:rsidR="00D6662C" w:rsidRDefault="00D6662C" w:rsidP="00D6662C">
      <w:pPr>
        <w:keepNext/>
        <w:spacing w:after="240"/>
        <w:jc w:val="both"/>
        <w:rPr>
          <w:rFonts w:ascii="Arial" w:hAnsi="Arial" w:cs="Arial"/>
          <w:szCs w:val="22"/>
        </w:rPr>
      </w:pPr>
      <w:r>
        <w:rPr>
          <w:rFonts w:ascii="Arial" w:hAnsi="Arial" w:cs="Arial"/>
          <w:szCs w:val="22"/>
        </w:rPr>
        <w:t xml:space="preserve">Gegenstand des beantragten Bauvorhabens ist die Verlegung der B 7 auf dem Gebiet des Freistaates Sachsen zwischen der Landesgrenze zu Thüringen und dem Anschluss an die Maßnahme „Neubau der BAB A 72 Chemnitz – Leipzig, Abschnitt 3.2 </w:t>
      </w:r>
      <w:proofErr w:type="spellStart"/>
      <w:r>
        <w:rPr>
          <w:rFonts w:ascii="Arial" w:hAnsi="Arial" w:cs="Arial"/>
          <w:szCs w:val="22"/>
        </w:rPr>
        <w:t>Frohburg</w:t>
      </w:r>
      <w:proofErr w:type="spellEnd"/>
      <w:r>
        <w:rPr>
          <w:rFonts w:ascii="Arial" w:hAnsi="Arial" w:cs="Arial"/>
          <w:szCs w:val="22"/>
        </w:rPr>
        <w:t xml:space="preserve"> – Borna, Anschlussstelle </w:t>
      </w:r>
      <w:proofErr w:type="spellStart"/>
      <w:r>
        <w:rPr>
          <w:rFonts w:ascii="Arial" w:hAnsi="Arial" w:cs="Arial"/>
          <w:szCs w:val="22"/>
        </w:rPr>
        <w:t>Frohburg</w:t>
      </w:r>
      <w:proofErr w:type="spellEnd"/>
      <w:r>
        <w:rPr>
          <w:rFonts w:ascii="Arial" w:hAnsi="Arial" w:cs="Arial"/>
          <w:szCs w:val="22"/>
        </w:rPr>
        <w:t>“.</w:t>
      </w:r>
    </w:p>
    <w:p w:rsidR="00D6662C" w:rsidRDefault="00D6662C" w:rsidP="00D6662C">
      <w:pPr>
        <w:keepNext/>
        <w:spacing w:after="240"/>
        <w:jc w:val="both"/>
        <w:rPr>
          <w:rFonts w:ascii="Arial" w:hAnsi="Arial" w:cs="Arial"/>
          <w:szCs w:val="22"/>
        </w:rPr>
      </w:pPr>
      <w:r>
        <w:rPr>
          <w:rFonts w:ascii="Arial" w:hAnsi="Arial" w:cs="Arial"/>
          <w:szCs w:val="22"/>
        </w:rPr>
        <w:t>Die geplante Ausbaustrecke umfasst im Bereich des Freistaates Sachsen eine Länge von 6,333 km.</w:t>
      </w:r>
    </w:p>
    <w:p w:rsidR="00D6662C" w:rsidRDefault="00D6662C" w:rsidP="00D6662C">
      <w:pPr>
        <w:keepNext/>
        <w:spacing w:after="240"/>
        <w:jc w:val="both"/>
        <w:rPr>
          <w:rFonts w:ascii="Arial" w:hAnsi="Arial" w:cs="Arial"/>
          <w:szCs w:val="22"/>
        </w:rPr>
      </w:pPr>
      <w:r>
        <w:rPr>
          <w:rFonts w:ascii="Arial" w:hAnsi="Arial" w:cs="Arial"/>
          <w:szCs w:val="22"/>
        </w:rPr>
        <w:t xml:space="preserve">Die Baustrecke der B 7 befindet sich in der Stadt </w:t>
      </w:r>
      <w:proofErr w:type="spellStart"/>
      <w:r>
        <w:rPr>
          <w:rFonts w:ascii="Arial" w:hAnsi="Arial" w:cs="Arial"/>
          <w:szCs w:val="22"/>
        </w:rPr>
        <w:t>Frohburg</w:t>
      </w:r>
      <w:proofErr w:type="spellEnd"/>
      <w:r>
        <w:rPr>
          <w:rFonts w:ascii="Arial" w:hAnsi="Arial" w:cs="Arial"/>
          <w:szCs w:val="22"/>
        </w:rPr>
        <w:t xml:space="preserve"> (Gemarkungen </w:t>
      </w:r>
      <w:proofErr w:type="spellStart"/>
      <w:r>
        <w:rPr>
          <w:rFonts w:ascii="Arial" w:hAnsi="Arial" w:cs="Arial"/>
          <w:szCs w:val="22"/>
        </w:rPr>
        <w:t>Eschefeld</w:t>
      </w:r>
      <w:proofErr w:type="spellEnd"/>
      <w:r>
        <w:rPr>
          <w:rFonts w:ascii="Arial" w:hAnsi="Arial" w:cs="Arial"/>
          <w:szCs w:val="22"/>
        </w:rPr>
        <w:t xml:space="preserve"> und Benndorf). Landschaftspflegerische Maßnahmen sind auch außerhalb des Stadtgebietes </w:t>
      </w:r>
      <w:proofErr w:type="spellStart"/>
      <w:r>
        <w:rPr>
          <w:rFonts w:ascii="Arial" w:hAnsi="Arial" w:cs="Arial"/>
          <w:szCs w:val="22"/>
        </w:rPr>
        <w:t>Frohburg</w:t>
      </w:r>
      <w:proofErr w:type="spellEnd"/>
      <w:r>
        <w:rPr>
          <w:rFonts w:ascii="Arial" w:hAnsi="Arial" w:cs="Arial"/>
          <w:szCs w:val="22"/>
        </w:rPr>
        <w:t xml:space="preserve"> (Gemarkungen </w:t>
      </w:r>
      <w:proofErr w:type="spellStart"/>
      <w:r>
        <w:rPr>
          <w:rFonts w:ascii="Arial" w:hAnsi="Arial" w:cs="Arial"/>
          <w:szCs w:val="22"/>
        </w:rPr>
        <w:t>Kohren</w:t>
      </w:r>
      <w:proofErr w:type="spellEnd"/>
      <w:r>
        <w:rPr>
          <w:rFonts w:ascii="Arial" w:hAnsi="Arial" w:cs="Arial"/>
          <w:szCs w:val="22"/>
        </w:rPr>
        <w:t xml:space="preserve">, Linda) in der Stadt Geithain (Gemarkung </w:t>
      </w:r>
      <w:proofErr w:type="spellStart"/>
      <w:r>
        <w:rPr>
          <w:rFonts w:ascii="Arial" w:hAnsi="Arial" w:cs="Arial"/>
          <w:szCs w:val="22"/>
        </w:rPr>
        <w:t>Syhra</w:t>
      </w:r>
      <w:proofErr w:type="spellEnd"/>
      <w:r>
        <w:rPr>
          <w:rFonts w:ascii="Arial" w:hAnsi="Arial" w:cs="Arial"/>
          <w:szCs w:val="22"/>
        </w:rPr>
        <w:t xml:space="preserve">), der Stadt </w:t>
      </w:r>
      <w:proofErr w:type="spellStart"/>
      <w:r>
        <w:rPr>
          <w:rFonts w:ascii="Arial" w:hAnsi="Arial" w:cs="Arial"/>
          <w:szCs w:val="22"/>
        </w:rPr>
        <w:t>Böhlen</w:t>
      </w:r>
      <w:proofErr w:type="spellEnd"/>
      <w:r>
        <w:rPr>
          <w:rFonts w:ascii="Arial" w:hAnsi="Arial" w:cs="Arial"/>
          <w:szCs w:val="22"/>
        </w:rPr>
        <w:t xml:space="preserve"> (Gemarkung </w:t>
      </w:r>
      <w:proofErr w:type="spellStart"/>
      <w:r>
        <w:rPr>
          <w:rFonts w:ascii="Arial" w:hAnsi="Arial" w:cs="Arial"/>
          <w:szCs w:val="22"/>
        </w:rPr>
        <w:t>Zehmen</w:t>
      </w:r>
      <w:proofErr w:type="spellEnd"/>
      <w:r>
        <w:rPr>
          <w:rFonts w:ascii="Arial" w:hAnsi="Arial" w:cs="Arial"/>
          <w:szCs w:val="22"/>
        </w:rPr>
        <w:t xml:space="preserve">), der Stadt Borna (Gemarkung </w:t>
      </w:r>
      <w:proofErr w:type="spellStart"/>
      <w:r>
        <w:rPr>
          <w:rFonts w:ascii="Arial" w:hAnsi="Arial" w:cs="Arial"/>
          <w:szCs w:val="22"/>
        </w:rPr>
        <w:t>Wyhra</w:t>
      </w:r>
      <w:proofErr w:type="spellEnd"/>
      <w:r>
        <w:rPr>
          <w:rFonts w:ascii="Arial" w:hAnsi="Arial" w:cs="Arial"/>
          <w:szCs w:val="22"/>
        </w:rPr>
        <w:t xml:space="preserve">) sowie auf dem Gebiet der Gemeinde </w:t>
      </w:r>
      <w:proofErr w:type="spellStart"/>
      <w:r>
        <w:rPr>
          <w:rFonts w:ascii="Arial" w:hAnsi="Arial" w:cs="Arial"/>
          <w:szCs w:val="22"/>
        </w:rPr>
        <w:t>Wermsdorf</w:t>
      </w:r>
      <w:proofErr w:type="spellEnd"/>
      <w:r>
        <w:rPr>
          <w:rFonts w:ascii="Arial" w:hAnsi="Arial" w:cs="Arial"/>
          <w:szCs w:val="22"/>
        </w:rPr>
        <w:t xml:space="preserve"> (Landkreis Nordsachsen, Gemarkung </w:t>
      </w:r>
      <w:proofErr w:type="spellStart"/>
      <w:r>
        <w:rPr>
          <w:rFonts w:ascii="Arial" w:hAnsi="Arial" w:cs="Arial"/>
          <w:szCs w:val="22"/>
        </w:rPr>
        <w:t>Wermsdorf</w:t>
      </w:r>
      <w:proofErr w:type="spellEnd"/>
      <w:r>
        <w:rPr>
          <w:rFonts w:ascii="Arial" w:hAnsi="Arial" w:cs="Arial"/>
          <w:szCs w:val="22"/>
        </w:rPr>
        <w:t>) vorgesehen.</w:t>
      </w:r>
    </w:p>
    <w:p w:rsidR="00D6662C" w:rsidRDefault="00D6662C" w:rsidP="00D6662C">
      <w:pPr>
        <w:keepNext/>
        <w:spacing w:after="240"/>
        <w:jc w:val="both"/>
        <w:rPr>
          <w:rFonts w:ascii="Arial" w:hAnsi="Arial" w:cs="Arial"/>
          <w:szCs w:val="22"/>
        </w:rPr>
      </w:pPr>
      <w:r>
        <w:rPr>
          <w:rFonts w:ascii="Arial" w:hAnsi="Arial" w:cs="Arial"/>
          <w:szCs w:val="22"/>
        </w:rPr>
        <w:t>Für das Vorhaben besteht eine Verpflichtung zur Durchführung einer Umweltverträglichkeitsprüfung (UVP). Die UVP-Pflicht ergibt sich aus § 7 Abs. 3 des Gesetzes über die Umweltverträglichkeitsprüfung (UVPG), da es sich um ein Neubauvorhaben handelt, der Vorhabenträger die Durchführung einer Umweltverträglichkeitsprüfung beantragt und die Landesdirektion Sachsen das Entfallen einer Vorprüfung der Umweltverträglichkeit als zweckmäßig erachtet.</w:t>
      </w:r>
    </w:p>
    <w:p w:rsidR="00D6662C" w:rsidRDefault="00D6662C" w:rsidP="00D6662C">
      <w:pPr>
        <w:keepNext/>
        <w:spacing w:after="240"/>
        <w:jc w:val="both"/>
        <w:rPr>
          <w:rFonts w:ascii="Arial" w:hAnsi="Arial" w:cs="Arial"/>
          <w:szCs w:val="22"/>
        </w:rPr>
      </w:pPr>
      <w:r>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902"/>
      </w:tblGrid>
      <w:tr w:rsidR="00D6662C" w:rsidTr="00FB1050">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D6662C" w:rsidRDefault="00D6662C" w:rsidP="00FB1050">
            <w:pPr>
              <w:keepNext/>
              <w:jc w:val="both"/>
              <w:rPr>
                <w:rFonts w:ascii="Arial" w:hAnsi="Arial" w:cs="Arial"/>
                <w:szCs w:val="22"/>
              </w:rPr>
            </w:pPr>
            <w:r>
              <w:rPr>
                <w:rFonts w:ascii="Arial" w:hAnsi="Arial" w:cs="Arial"/>
                <w:szCs w:val="22"/>
              </w:rPr>
              <w:t xml:space="preserve">Unterlage </w:t>
            </w:r>
          </w:p>
          <w:p w:rsidR="00D6662C" w:rsidRDefault="00D6662C" w:rsidP="00FB1050">
            <w:pPr>
              <w:keepNext/>
              <w:jc w:val="both"/>
              <w:rPr>
                <w:rFonts w:ascii="Arial" w:hAnsi="Arial" w:cs="Arial"/>
                <w:szCs w:val="22"/>
              </w:rPr>
            </w:pPr>
            <w:r>
              <w:rPr>
                <w:rFonts w:ascii="Arial" w:hAnsi="Arial" w:cs="Arial"/>
                <w:szCs w:val="22"/>
              </w:rPr>
              <w:t>Nr.</w:t>
            </w:r>
          </w:p>
        </w:tc>
        <w:tc>
          <w:tcPr>
            <w:tcW w:w="7902" w:type="dxa"/>
            <w:tcBorders>
              <w:top w:val="single" w:sz="4" w:space="0" w:color="auto"/>
              <w:left w:val="single" w:sz="4" w:space="0" w:color="auto"/>
              <w:bottom w:val="single" w:sz="4" w:space="0" w:color="auto"/>
              <w:right w:val="single" w:sz="4" w:space="0" w:color="auto"/>
            </w:tcBorders>
            <w:shd w:val="clear" w:color="auto" w:fill="D9D9D9"/>
            <w:hideMark/>
          </w:tcPr>
          <w:p w:rsidR="00D6662C" w:rsidRDefault="00D6662C" w:rsidP="00FB1050">
            <w:pPr>
              <w:keepNext/>
              <w:spacing w:after="240"/>
              <w:jc w:val="both"/>
              <w:rPr>
                <w:rFonts w:ascii="Arial" w:hAnsi="Arial" w:cs="Arial"/>
                <w:szCs w:val="22"/>
              </w:rPr>
            </w:pPr>
            <w:r>
              <w:rPr>
                <w:rFonts w:ascii="Arial" w:hAnsi="Arial" w:cs="Arial"/>
                <w:szCs w:val="22"/>
              </w:rPr>
              <w:t>Bezeichnung der Unterlage</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Teil A</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proofErr w:type="spellStart"/>
            <w:r>
              <w:rPr>
                <w:rFonts w:ascii="Arial" w:hAnsi="Arial" w:cs="Arial"/>
                <w:b/>
                <w:szCs w:val="22"/>
              </w:rPr>
              <w:t>Vorhabensbeschreibung</w:t>
            </w:r>
            <w:proofErr w:type="spellEnd"/>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Erläuterungsbericht mit Anlagen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Teil B</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proofErr w:type="spellStart"/>
            <w:r>
              <w:rPr>
                <w:rFonts w:ascii="Arial" w:hAnsi="Arial" w:cs="Arial"/>
                <w:b/>
                <w:szCs w:val="22"/>
              </w:rPr>
              <w:t>Planteil</w:t>
            </w:r>
            <w:proofErr w:type="spellEnd"/>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2</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Übersichtskarte</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3</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Übersichtslageplan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4</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Übersichtshöhenplan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5</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Lagepläne</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6</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Höhenpläne</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8</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 xml:space="preserve">Lagepläne der der Entwässerungsmaßnahmen </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9</w:t>
            </w:r>
          </w:p>
          <w:p w:rsidR="00D6662C" w:rsidRDefault="00D6662C" w:rsidP="00FB1050">
            <w:pPr>
              <w:keepNext/>
              <w:rPr>
                <w:rFonts w:ascii="Arial" w:hAnsi="Arial" w:cs="Arial"/>
                <w:szCs w:val="22"/>
              </w:rPr>
            </w:pPr>
            <w:r>
              <w:rPr>
                <w:rFonts w:ascii="Arial" w:hAnsi="Arial" w:cs="Arial"/>
                <w:szCs w:val="22"/>
              </w:rPr>
              <w:t>9.1</w:t>
            </w:r>
          </w:p>
          <w:p w:rsidR="00D6662C" w:rsidRDefault="00D6662C" w:rsidP="00FB1050">
            <w:pPr>
              <w:keepNext/>
              <w:rPr>
                <w:rFonts w:ascii="Arial" w:hAnsi="Arial" w:cs="Arial"/>
                <w:szCs w:val="22"/>
              </w:rPr>
            </w:pPr>
            <w:r>
              <w:rPr>
                <w:rFonts w:ascii="Arial" w:hAnsi="Arial" w:cs="Arial"/>
                <w:szCs w:val="22"/>
              </w:rPr>
              <w:t>9.2</w:t>
            </w:r>
          </w:p>
          <w:p w:rsidR="00D6662C" w:rsidRDefault="00D6662C" w:rsidP="00FB1050">
            <w:pPr>
              <w:keepNext/>
              <w:rPr>
                <w:rFonts w:ascii="Arial" w:hAnsi="Arial" w:cs="Arial"/>
                <w:szCs w:val="22"/>
              </w:rPr>
            </w:pPr>
            <w:r>
              <w:rPr>
                <w:rFonts w:ascii="Arial" w:hAnsi="Arial" w:cs="Arial"/>
                <w:szCs w:val="22"/>
              </w:rPr>
              <w:t>9.3</w:t>
            </w:r>
          </w:p>
          <w:p w:rsidR="00D6662C" w:rsidRDefault="00D6662C" w:rsidP="00FB1050">
            <w:pPr>
              <w:keepNext/>
              <w:rPr>
                <w:rFonts w:ascii="Arial" w:hAnsi="Arial" w:cs="Arial"/>
                <w:szCs w:val="22"/>
              </w:rPr>
            </w:pPr>
            <w:r>
              <w:rPr>
                <w:rFonts w:ascii="Arial" w:hAnsi="Arial" w:cs="Arial"/>
                <w:szCs w:val="22"/>
              </w:rPr>
              <w:t>9.4</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Landschaftspflegerische Maßnahmen</w:t>
            </w:r>
          </w:p>
          <w:p w:rsidR="00D6662C" w:rsidRDefault="00D6662C" w:rsidP="00FB1050">
            <w:pPr>
              <w:keepNext/>
              <w:tabs>
                <w:tab w:val="left" w:pos="330"/>
              </w:tabs>
              <w:rPr>
                <w:rFonts w:ascii="Arial" w:hAnsi="Arial" w:cs="Arial"/>
                <w:szCs w:val="22"/>
              </w:rPr>
            </w:pPr>
            <w:r>
              <w:rPr>
                <w:rFonts w:ascii="Arial" w:hAnsi="Arial" w:cs="Arial"/>
                <w:szCs w:val="22"/>
              </w:rPr>
              <w:t xml:space="preserve">Maßnahmenübersichtspläne </w:t>
            </w:r>
          </w:p>
          <w:p w:rsidR="00D6662C" w:rsidRDefault="00D6662C" w:rsidP="00FB1050">
            <w:pPr>
              <w:keepNext/>
              <w:tabs>
                <w:tab w:val="left" w:pos="330"/>
              </w:tabs>
              <w:rPr>
                <w:rFonts w:ascii="Arial" w:hAnsi="Arial" w:cs="Arial"/>
                <w:szCs w:val="22"/>
              </w:rPr>
            </w:pPr>
            <w:r>
              <w:rPr>
                <w:rFonts w:ascii="Arial" w:hAnsi="Arial" w:cs="Arial"/>
                <w:szCs w:val="22"/>
              </w:rPr>
              <w:t xml:space="preserve">Maßnahmenlagepläne </w:t>
            </w:r>
          </w:p>
          <w:p w:rsidR="00D6662C" w:rsidRDefault="00D6662C" w:rsidP="00FB1050">
            <w:pPr>
              <w:keepNext/>
              <w:tabs>
                <w:tab w:val="left" w:pos="330"/>
              </w:tabs>
              <w:rPr>
                <w:rFonts w:ascii="Arial" w:hAnsi="Arial" w:cs="Arial"/>
                <w:szCs w:val="22"/>
              </w:rPr>
            </w:pPr>
            <w:r>
              <w:rPr>
                <w:rFonts w:ascii="Arial" w:hAnsi="Arial" w:cs="Arial"/>
                <w:szCs w:val="22"/>
              </w:rPr>
              <w:t>Maßnahmenblätter</w:t>
            </w:r>
          </w:p>
          <w:p w:rsidR="00D6662C" w:rsidRDefault="00D6662C" w:rsidP="00FB1050">
            <w:pPr>
              <w:keepNext/>
              <w:tabs>
                <w:tab w:val="left" w:pos="330"/>
              </w:tabs>
              <w:rPr>
                <w:rFonts w:ascii="Arial" w:hAnsi="Arial" w:cs="Arial"/>
                <w:szCs w:val="22"/>
              </w:rPr>
            </w:pPr>
            <w:r>
              <w:rPr>
                <w:rFonts w:ascii="Arial" w:hAnsi="Arial" w:cs="Arial"/>
                <w:szCs w:val="22"/>
              </w:rPr>
              <w:t>Tabellarische Gegenüberstellung von Eingriff und Kompensation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10</w:t>
            </w:r>
          </w:p>
          <w:p w:rsidR="00D6662C" w:rsidRDefault="00D6662C" w:rsidP="00FB1050">
            <w:pPr>
              <w:keepNext/>
              <w:rPr>
                <w:rFonts w:ascii="Arial" w:hAnsi="Arial" w:cs="Arial"/>
                <w:szCs w:val="22"/>
              </w:rPr>
            </w:pPr>
            <w:r>
              <w:rPr>
                <w:rFonts w:ascii="Arial" w:hAnsi="Arial" w:cs="Arial"/>
                <w:szCs w:val="22"/>
              </w:rPr>
              <w:t>10.1</w:t>
            </w:r>
          </w:p>
          <w:p w:rsidR="00D6662C" w:rsidRDefault="00D6662C" w:rsidP="00FB1050">
            <w:pPr>
              <w:keepNext/>
              <w:rPr>
                <w:rFonts w:ascii="Arial" w:hAnsi="Arial" w:cs="Arial"/>
                <w:szCs w:val="22"/>
              </w:rPr>
            </w:pPr>
            <w:r>
              <w:rPr>
                <w:rFonts w:ascii="Arial" w:hAnsi="Arial" w:cs="Arial"/>
                <w:szCs w:val="22"/>
              </w:rPr>
              <w:lastRenderedPageBreak/>
              <w:t>10.2</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lastRenderedPageBreak/>
              <w:t>Grunderwerb</w:t>
            </w:r>
          </w:p>
          <w:p w:rsidR="00D6662C" w:rsidRDefault="00D6662C" w:rsidP="00FB1050">
            <w:pPr>
              <w:keepNext/>
              <w:rPr>
                <w:rFonts w:ascii="Arial" w:hAnsi="Arial" w:cs="Arial"/>
                <w:szCs w:val="22"/>
              </w:rPr>
            </w:pPr>
            <w:r>
              <w:rPr>
                <w:rFonts w:ascii="Arial" w:hAnsi="Arial" w:cs="Arial"/>
                <w:szCs w:val="22"/>
              </w:rPr>
              <w:t>Grunderwerbsplan</w:t>
            </w:r>
          </w:p>
          <w:p w:rsidR="00D6662C" w:rsidRDefault="00D6662C" w:rsidP="00FB1050">
            <w:pPr>
              <w:keepNext/>
              <w:rPr>
                <w:rFonts w:ascii="Arial" w:hAnsi="Arial" w:cs="Arial"/>
                <w:szCs w:val="22"/>
              </w:rPr>
            </w:pPr>
            <w:r>
              <w:rPr>
                <w:rFonts w:ascii="Arial" w:hAnsi="Arial" w:cs="Arial"/>
                <w:szCs w:val="22"/>
              </w:rPr>
              <w:lastRenderedPageBreak/>
              <w:t>Grunderwerbsverzeichnis</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lastRenderedPageBreak/>
              <w:t>11</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Regelungsverzeichnis</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12</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 xml:space="preserve">Widmung, </w:t>
            </w:r>
            <w:proofErr w:type="spellStart"/>
            <w:r>
              <w:rPr>
                <w:rFonts w:ascii="Arial" w:hAnsi="Arial" w:cs="Arial"/>
                <w:szCs w:val="22"/>
              </w:rPr>
              <w:t>Umstufung</w:t>
            </w:r>
            <w:proofErr w:type="spellEnd"/>
            <w:r>
              <w:rPr>
                <w:rFonts w:ascii="Arial" w:hAnsi="Arial" w:cs="Arial"/>
                <w:szCs w:val="22"/>
              </w:rPr>
              <w:t>, Einziehung</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Teil C</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Untersuchungen, weitere Pläne, Skizzen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14</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Straßenquerschnitt</w:t>
            </w:r>
          </w:p>
          <w:p w:rsidR="00D6662C" w:rsidRDefault="00D6662C" w:rsidP="00FB1050">
            <w:pPr>
              <w:keepNext/>
              <w:rPr>
                <w:rFonts w:ascii="Arial" w:hAnsi="Arial" w:cs="Arial"/>
                <w:szCs w:val="22"/>
              </w:rPr>
            </w:pPr>
            <w:r>
              <w:rPr>
                <w:rFonts w:ascii="Arial" w:hAnsi="Arial" w:cs="Arial"/>
                <w:szCs w:val="22"/>
              </w:rPr>
              <w:t>Ermittlung der Belastungsklassen und des Befestigungsaufbaus</w:t>
            </w:r>
          </w:p>
          <w:p w:rsidR="00D6662C" w:rsidRDefault="00D6662C" w:rsidP="00FB1050">
            <w:pPr>
              <w:keepNext/>
              <w:rPr>
                <w:rFonts w:ascii="Arial" w:hAnsi="Arial" w:cs="Arial"/>
                <w:szCs w:val="22"/>
              </w:rPr>
            </w:pPr>
            <w:r>
              <w:rPr>
                <w:rFonts w:ascii="Arial" w:hAnsi="Arial" w:cs="Arial"/>
                <w:szCs w:val="22"/>
              </w:rPr>
              <w:t xml:space="preserve">Regelquerschnitte </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15</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 xml:space="preserve">Bauwerksskizzen </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17</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Immissionstechnische Untersuchungen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18</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Wassertechnische Untersuchungen</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19</w:t>
            </w:r>
          </w:p>
          <w:p w:rsidR="00D6662C" w:rsidRDefault="00D6662C" w:rsidP="00FB1050">
            <w:pPr>
              <w:keepNext/>
              <w:rPr>
                <w:rFonts w:ascii="Arial" w:hAnsi="Arial" w:cs="Arial"/>
                <w:szCs w:val="22"/>
              </w:rPr>
            </w:pPr>
            <w:r>
              <w:rPr>
                <w:rFonts w:ascii="Arial" w:hAnsi="Arial" w:cs="Arial"/>
                <w:szCs w:val="22"/>
              </w:rPr>
              <w:t>19.0</w:t>
            </w:r>
          </w:p>
          <w:p w:rsidR="00D6662C" w:rsidRDefault="00D6662C" w:rsidP="00FB1050">
            <w:pPr>
              <w:keepNext/>
              <w:rPr>
                <w:rFonts w:ascii="Arial" w:hAnsi="Arial" w:cs="Arial"/>
                <w:szCs w:val="22"/>
              </w:rPr>
            </w:pPr>
            <w:r>
              <w:rPr>
                <w:rFonts w:ascii="Arial" w:hAnsi="Arial" w:cs="Arial"/>
                <w:szCs w:val="22"/>
              </w:rPr>
              <w:t>19.1</w:t>
            </w:r>
          </w:p>
          <w:p w:rsidR="00D6662C" w:rsidRDefault="00D6662C" w:rsidP="00FB1050">
            <w:pPr>
              <w:keepNext/>
              <w:rPr>
                <w:rFonts w:ascii="Arial" w:hAnsi="Arial" w:cs="Arial"/>
                <w:szCs w:val="22"/>
              </w:rPr>
            </w:pPr>
            <w:r>
              <w:rPr>
                <w:rFonts w:ascii="Arial" w:hAnsi="Arial" w:cs="Arial"/>
                <w:szCs w:val="22"/>
              </w:rPr>
              <w:t>19.2</w:t>
            </w:r>
          </w:p>
          <w:p w:rsidR="00D6662C" w:rsidRDefault="00D6662C" w:rsidP="00FB1050">
            <w:pPr>
              <w:keepNext/>
              <w:rPr>
                <w:rFonts w:ascii="Arial" w:hAnsi="Arial" w:cs="Arial"/>
                <w:szCs w:val="22"/>
              </w:rPr>
            </w:pPr>
            <w:r>
              <w:rPr>
                <w:rFonts w:ascii="Arial" w:hAnsi="Arial" w:cs="Arial"/>
                <w:szCs w:val="22"/>
              </w:rPr>
              <w:t>19.2.1</w:t>
            </w:r>
          </w:p>
          <w:p w:rsidR="00D6662C" w:rsidRDefault="00D6662C" w:rsidP="00FB1050">
            <w:pPr>
              <w:keepNext/>
              <w:rPr>
                <w:rFonts w:ascii="Arial" w:hAnsi="Arial" w:cs="Arial"/>
                <w:szCs w:val="22"/>
              </w:rPr>
            </w:pPr>
            <w:r>
              <w:rPr>
                <w:rFonts w:ascii="Arial" w:hAnsi="Arial" w:cs="Arial"/>
                <w:szCs w:val="22"/>
              </w:rPr>
              <w:t>19.2.2</w:t>
            </w:r>
          </w:p>
          <w:p w:rsidR="00D6662C" w:rsidRDefault="00D6662C" w:rsidP="00FB1050">
            <w:pPr>
              <w:keepNext/>
              <w:rPr>
                <w:rFonts w:ascii="Arial" w:hAnsi="Arial" w:cs="Arial"/>
                <w:szCs w:val="22"/>
              </w:rPr>
            </w:pPr>
            <w:r>
              <w:rPr>
                <w:rFonts w:ascii="Arial" w:hAnsi="Arial" w:cs="Arial"/>
                <w:szCs w:val="22"/>
              </w:rPr>
              <w:t>19.3.2</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Umweltfachliche Untersuchungen</w:t>
            </w:r>
          </w:p>
          <w:p w:rsidR="00D6662C" w:rsidRDefault="00D6662C" w:rsidP="00FB1050">
            <w:pPr>
              <w:keepNext/>
              <w:rPr>
                <w:rFonts w:ascii="Arial" w:hAnsi="Arial" w:cs="Arial"/>
                <w:szCs w:val="22"/>
              </w:rPr>
            </w:pPr>
            <w:r>
              <w:rPr>
                <w:rFonts w:ascii="Arial" w:hAnsi="Arial" w:cs="Arial"/>
                <w:szCs w:val="22"/>
              </w:rPr>
              <w:t>Textteil LBP</w:t>
            </w:r>
          </w:p>
          <w:p w:rsidR="00D6662C" w:rsidRDefault="00D6662C" w:rsidP="00FB1050">
            <w:pPr>
              <w:keepNext/>
              <w:rPr>
                <w:rFonts w:ascii="Arial" w:hAnsi="Arial" w:cs="Arial"/>
                <w:szCs w:val="22"/>
              </w:rPr>
            </w:pPr>
            <w:r>
              <w:rPr>
                <w:rFonts w:ascii="Arial" w:hAnsi="Arial" w:cs="Arial"/>
                <w:szCs w:val="22"/>
              </w:rPr>
              <w:t>Bestand- und Konflikte</w:t>
            </w:r>
          </w:p>
          <w:p w:rsidR="00D6662C" w:rsidRDefault="00D6662C" w:rsidP="00FB1050">
            <w:pPr>
              <w:keepNext/>
              <w:rPr>
                <w:rFonts w:ascii="Arial" w:hAnsi="Arial" w:cs="Arial"/>
                <w:szCs w:val="22"/>
              </w:rPr>
            </w:pPr>
            <w:r>
              <w:rPr>
                <w:rFonts w:ascii="Arial" w:hAnsi="Arial" w:cs="Arial"/>
                <w:szCs w:val="22"/>
              </w:rPr>
              <w:t>NATURA 2000-Verträglichkeitsprüfung</w:t>
            </w:r>
          </w:p>
          <w:p w:rsidR="00D6662C" w:rsidRDefault="00D6662C" w:rsidP="00FB1050">
            <w:pPr>
              <w:keepNext/>
              <w:rPr>
                <w:rFonts w:ascii="Arial" w:hAnsi="Arial" w:cs="Arial"/>
                <w:szCs w:val="22"/>
              </w:rPr>
            </w:pPr>
            <w:r>
              <w:rPr>
                <w:rFonts w:ascii="Arial" w:hAnsi="Arial" w:cs="Arial"/>
                <w:szCs w:val="22"/>
              </w:rPr>
              <w:t xml:space="preserve">FFH-VP </w:t>
            </w:r>
            <w:proofErr w:type="spellStart"/>
            <w:r>
              <w:rPr>
                <w:rFonts w:ascii="Arial" w:hAnsi="Arial" w:cs="Arial"/>
                <w:szCs w:val="22"/>
              </w:rPr>
              <w:t>Wyhraaue</w:t>
            </w:r>
            <w:proofErr w:type="spellEnd"/>
            <w:r>
              <w:rPr>
                <w:rFonts w:ascii="Arial" w:hAnsi="Arial" w:cs="Arial"/>
                <w:szCs w:val="22"/>
              </w:rPr>
              <w:t xml:space="preserve"> und </w:t>
            </w:r>
            <w:proofErr w:type="spellStart"/>
            <w:r>
              <w:rPr>
                <w:rFonts w:ascii="Arial" w:hAnsi="Arial" w:cs="Arial"/>
                <w:szCs w:val="22"/>
              </w:rPr>
              <w:t>Frohburger</w:t>
            </w:r>
            <w:proofErr w:type="spellEnd"/>
            <w:r>
              <w:rPr>
                <w:rFonts w:ascii="Arial" w:hAnsi="Arial" w:cs="Arial"/>
                <w:szCs w:val="22"/>
              </w:rPr>
              <w:t xml:space="preserve"> Streitwald</w:t>
            </w:r>
          </w:p>
          <w:p w:rsidR="00D6662C" w:rsidRDefault="00D6662C" w:rsidP="00FB1050">
            <w:pPr>
              <w:keepNext/>
              <w:rPr>
                <w:rFonts w:ascii="Arial" w:hAnsi="Arial" w:cs="Arial"/>
                <w:szCs w:val="22"/>
              </w:rPr>
            </w:pPr>
            <w:r>
              <w:rPr>
                <w:rFonts w:ascii="Arial" w:hAnsi="Arial" w:cs="Arial"/>
                <w:szCs w:val="22"/>
              </w:rPr>
              <w:t xml:space="preserve">SPA-VO </w:t>
            </w:r>
            <w:proofErr w:type="spellStart"/>
            <w:r>
              <w:rPr>
                <w:rFonts w:ascii="Arial" w:hAnsi="Arial" w:cs="Arial"/>
                <w:szCs w:val="22"/>
              </w:rPr>
              <w:t>Eschefelder</w:t>
            </w:r>
            <w:proofErr w:type="spellEnd"/>
            <w:r>
              <w:rPr>
                <w:rFonts w:ascii="Arial" w:hAnsi="Arial" w:cs="Arial"/>
                <w:szCs w:val="22"/>
              </w:rPr>
              <w:t xml:space="preserve"> Teiche</w:t>
            </w:r>
          </w:p>
          <w:p w:rsidR="00D6662C" w:rsidRDefault="00D6662C" w:rsidP="00FB1050">
            <w:pPr>
              <w:keepNext/>
              <w:rPr>
                <w:rFonts w:ascii="Arial" w:hAnsi="Arial" w:cs="Arial"/>
                <w:szCs w:val="22"/>
              </w:rPr>
            </w:pPr>
            <w:r>
              <w:rPr>
                <w:rFonts w:ascii="Arial" w:hAnsi="Arial" w:cs="Arial"/>
                <w:szCs w:val="22"/>
              </w:rPr>
              <w:t>Artenschutzfachbeitrag</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20</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Geotechnischer Bericht</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D</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b/>
                <w:szCs w:val="22"/>
              </w:rPr>
            </w:pPr>
            <w:r>
              <w:rPr>
                <w:rFonts w:ascii="Arial" w:hAnsi="Arial" w:cs="Arial"/>
                <w:b/>
                <w:szCs w:val="22"/>
              </w:rPr>
              <w:t>Nachweise</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21</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Sonstige Gutachten</w:t>
            </w:r>
          </w:p>
          <w:p w:rsidR="00D6662C" w:rsidRDefault="00D6662C" w:rsidP="00FB1050">
            <w:pPr>
              <w:keepNext/>
              <w:rPr>
                <w:rFonts w:ascii="Arial" w:hAnsi="Arial" w:cs="Arial"/>
                <w:szCs w:val="22"/>
              </w:rPr>
            </w:pPr>
            <w:r>
              <w:rPr>
                <w:rFonts w:ascii="Arial" w:hAnsi="Arial" w:cs="Arial"/>
                <w:szCs w:val="22"/>
              </w:rPr>
              <w:t xml:space="preserve">21.1 Hydraulische Berechnung </w:t>
            </w:r>
            <w:proofErr w:type="spellStart"/>
            <w:r>
              <w:rPr>
                <w:rFonts w:ascii="Arial" w:hAnsi="Arial" w:cs="Arial"/>
                <w:szCs w:val="22"/>
              </w:rPr>
              <w:t>Wyhrabrücke</w:t>
            </w:r>
            <w:proofErr w:type="spellEnd"/>
          </w:p>
          <w:p w:rsidR="00D6662C" w:rsidRDefault="00D6662C" w:rsidP="00FB1050">
            <w:pPr>
              <w:keepNext/>
              <w:rPr>
                <w:rFonts w:ascii="Arial" w:hAnsi="Arial" w:cs="Arial"/>
                <w:szCs w:val="22"/>
              </w:rPr>
            </w:pPr>
            <w:r>
              <w:rPr>
                <w:rFonts w:ascii="Arial" w:hAnsi="Arial" w:cs="Arial"/>
                <w:szCs w:val="22"/>
              </w:rPr>
              <w:t>21.2 Gutachten über Tausalzbelastung</w:t>
            </w:r>
          </w:p>
        </w:tc>
      </w:tr>
      <w:tr w:rsidR="00D6662C" w:rsidTr="00FB1050">
        <w:tc>
          <w:tcPr>
            <w:tcW w:w="1170"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22</w:t>
            </w:r>
          </w:p>
        </w:tc>
        <w:tc>
          <w:tcPr>
            <w:tcW w:w="7902" w:type="dxa"/>
            <w:tcBorders>
              <w:top w:val="single" w:sz="4" w:space="0" w:color="auto"/>
              <w:left w:val="single" w:sz="4" w:space="0" w:color="auto"/>
              <w:bottom w:val="single" w:sz="4" w:space="0" w:color="auto"/>
              <w:right w:val="single" w:sz="4" w:space="0" w:color="auto"/>
            </w:tcBorders>
            <w:hideMark/>
          </w:tcPr>
          <w:p w:rsidR="00D6662C" w:rsidRDefault="00D6662C" w:rsidP="00FB1050">
            <w:pPr>
              <w:keepNext/>
              <w:rPr>
                <w:rFonts w:ascii="Arial" w:hAnsi="Arial" w:cs="Arial"/>
                <w:szCs w:val="22"/>
              </w:rPr>
            </w:pPr>
            <w:r>
              <w:rPr>
                <w:rFonts w:ascii="Arial" w:hAnsi="Arial" w:cs="Arial"/>
                <w:szCs w:val="22"/>
              </w:rPr>
              <w:t>Verkehrstechnische Untersuchung</w:t>
            </w:r>
          </w:p>
        </w:tc>
      </w:tr>
    </w:tbl>
    <w:p w:rsidR="00D6662C" w:rsidRDefault="00D6662C" w:rsidP="00D6662C">
      <w:pPr>
        <w:keepNext/>
        <w:spacing w:after="240"/>
        <w:jc w:val="both"/>
        <w:rPr>
          <w:rFonts w:ascii="Arial" w:hAnsi="Arial" w:cs="Arial"/>
          <w:szCs w:val="22"/>
        </w:rPr>
      </w:pPr>
    </w:p>
    <w:p w:rsidR="00D6662C" w:rsidRDefault="00D6662C" w:rsidP="00D6662C">
      <w:pPr>
        <w:keepNext/>
        <w:spacing w:after="240"/>
        <w:jc w:val="both"/>
        <w:rPr>
          <w:rFonts w:ascii="Arial" w:hAnsi="Arial" w:cs="Arial"/>
          <w:szCs w:val="22"/>
        </w:rPr>
      </w:pPr>
      <w:r>
        <w:rPr>
          <w:rFonts w:ascii="Arial" w:hAnsi="Arial" w:cs="Arial"/>
          <w:szCs w:val="22"/>
        </w:rPr>
        <w:t xml:space="preserve">Die ausgelegten Planunterlagen enthalten die nach § 16 Abs. 1 UVPG notwendigen Unterlagen für die Umweltverträglichkeitsprüfung. Die hiermit eingeleitete Anhörung zu den Planunterlagen (§ 73 Abs. 3 bis 5 des Verwaltungsverfahrensgesetzes – VwVfG) stellt zugleich die Beteiligung der Öffentlichkeit zu den Umweltauswirkungen nach § 18 </w:t>
      </w:r>
      <w:r>
        <w:rPr>
          <w:rFonts w:ascii="Arial" w:hAnsi="Arial" w:cs="Arial"/>
          <w:szCs w:val="22"/>
        </w:rPr>
        <w:br/>
        <w:t>Abs. 1 UVPG dar.</w:t>
      </w:r>
    </w:p>
    <w:p w:rsidR="00D6662C" w:rsidRDefault="00D6662C" w:rsidP="00D6662C">
      <w:pPr>
        <w:keepNext/>
        <w:overflowPunct/>
        <w:autoSpaceDE/>
        <w:adjustRightInd/>
        <w:rPr>
          <w:rFonts w:ascii="Arial" w:hAnsi="Arial" w:cs="Arial"/>
          <w:szCs w:val="22"/>
        </w:rPr>
      </w:pPr>
      <w:r>
        <w:rPr>
          <w:rFonts w:ascii="Arial" w:hAnsi="Arial" w:cs="Arial"/>
          <w:szCs w:val="22"/>
        </w:rPr>
        <w:t xml:space="preserve">Der Plan (Zeichnungen und Erläuterungen) liegt in der Zeit </w:t>
      </w:r>
    </w:p>
    <w:p w:rsidR="00D6662C" w:rsidRDefault="00D6662C" w:rsidP="00D6662C">
      <w:pPr>
        <w:keepNext/>
        <w:jc w:val="center"/>
        <w:rPr>
          <w:rFonts w:ascii="Arial" w:hAnsi="Arial" w:cs="Arial"/>
          <w:b/>
          <w:szCs w:val="22"/>
        </w:rPr>
      </w:pPr>
      <w:r>
        <w:rPr>
          <w:rFonts w:ascii="Arial" w:hAnsi="Arial" w:cs="Arial"/>
          <w:b/>
          <w:szCs w:val="22"/>
        </w:rPr>
        <w:t>vom 4. November 2019 bis 3. Dezember 2019</w:t>
      </w:r>
    </w:p>
    <w:p w:rsidR="00D6662C" w:rsidRDefault="00D6662C" w:rsidP="00D6662C">
      <w:pPr>
        <w:keepNext/>
        <w:jc w:val="both"/>
        <w:rPr>
          <w:rFonts w:ascii="Arial" w:hAnsi="Arial" w:cs="Arial"/>
          <w:szCs w:val="22"/>
        </w:rPr>
      </w:pPr>
      <w:r>
        <w:rPr>
          <w:rFonts w:ascii="Arial" w:hAnsi="Arial" w:cs="Arial"/>
          <w:szCs w:val="22"/>
        </w:rPr>
        <w:t xml:space="preserve">in der Stadtverwaltung </w:t>
      </w:r>
      <w:proofErr w:type="spellStart"/>
      <w:r>
        <w:rPr>
          <w:rFonts w:ascii="Arial" w:hAnsi="Arial" w:cs="Arial"/>
          <w:szCs w:val="22"/>
        </w:rPr>
        <w:t>Frohburg</w:t>
      </w:r>
      <w:proofErr w:type="spellEnd"/>
      <w:r>
        <w:rPr>
          <w:rFonts w:ascii="Arial" w:hAnsi="Arial" w:cs="Arial"/>
          <w:szCs w:val="22"/>
        </w:rPr>
        <w:t xml:space="preserve">, Markt 13-15, 04654 </w:t>
      </w:r>
      <w:proofErr w:type="spellStart"/>
      <w:r>
        <w:rPr>
          <w:rFonts w:ascii="Arial" w:hAnsi="Arial" w:cs="Arial"/>
          <w:szCs w:val="22"/>
        </w:rPr>
        <w:t>Frohburg</w:t>
      </w:r>
      <w:proofErr w:type="spellEnd"/>
      <w:r>
        <w:rPr>
          <w:rFonts w:ascii="Arial" w:hAnsi="Arial" w:cs="Arial"/>
          <w:szCs w:val="22"/>
        </w:rPr>
        <w:t xml:space="preserve"> </w:t>
      </w:r>
      <w:r>
        <w:rPr>
          <w:rFonts w:ascii="Arial" w:hAnsi="Arial" w:cs="Arial"/>
          <w:szCs w:val="22"/>
        </w:rPr>
        <w:t xml:space="preserve">sowie in der Verwaltungsgemeinschaft </w:t>
      </w:r>
      <w:proofErr w:type="spellStart"/>
      <w:r>
        <w:rPr>
          <w:rFonts w:ascii="Arial" w:hAnsi="Arial" w:cs="Arial"/>
          <w:szCs w:val="22"/>
        </w:rPr>
        <w:t>Pleißenaue</w:t>
      </w:r>
      <w:proofErr w:type="spellEnd"/>
      <w:r>
        <w:rPr>
          <w:rFonts w:ascii="Arial" w:hAnsi="Arial" w:cs="Arial"/>
          <w:szCs w:val="22"/>
        </w:rPr>
        <w:t xml:space="preserve">, Breite Straße 2, 04617 </w:t>
      </w:r>
      <w:proofErr w:type="spellStart"/>
      <w:r>
        <w:rPr>
          <w:rFonts w:ascii="Arial" w:hAnsi="Arial" w:cs="Arial"/>
          <w:szCs w:val="22"/>
        </w:rPr>
        <w:t>Treben</w:t>
      </w:r>
      <w:proofErr w:type="spellEnd"/>
      <w:r>
        <w:rPr>
          <w:rFonts w:ascii="Arial" w:hAnsi="Arial" w:cs="Arial"/>
          <w:szCs w:val="22"/>
        </w:rPr>
        <w:t xml:space="preserve"> </w:t>
      </w:r>
      <w:r>
        <w:rPr>
          <w:rFonts w:ascii="Arial" w:hAnsi="Arial" w:cs="Arial"/>
          <w:szCs w:val="22"/>
        </w:rPr>
        <w:t xml:space="preserve">zur allgemeinen Einsichtnahme aus. </w:t>
      </w:r>
    </w:p>
    <w:p w:rsidR="00D6662C" w:rsidRDefault="00D6662C" w:rsidP="00D6662C">
      <w:pPr>
        <w:keepNext/>
        <w:jc w:val="both"/>
        <w:rPr>
          <w:rFonts w:ascii="Arial" w:hAnsi="Arial" w:cs="Arial"/>
          <w:szCs w:val="22"/>
        </w:rPr>
      </w:pPr>
    </w:p>
    <w:p w:rsidR="00D6662C" w:rsidRDefault="00D6662C" w:rsidP="00D6662C">
      <w:pPr>
        <w:keepNext/>
        <w:spacing w:after="240"/>
        <w:jc w:val="both"/>
        <w:rPr>
          <w:rFonts w:ascii="Arial" w:hAnsi="Arial" w:cs="Arial"/>
          <w:szCs w:val="22"/>
        </w:rPr>
      </w:pPr>
      <w:r>
        <w:rPr>
          <w:rFonts w:ascii="Arial" w:hAnsi="Arial" w:cs="Arial"/>
          <w:szCs w:val="22"/>
        </w:rPr>
        <w:t xml:space="preserve">Die Bekanntmachung ist einschließlich der auszulegenden Planunterlagen während des oben genannten Zeitraums auch auf der Internetseite der Landesdirektion Sachsen unter </w:t>
      </w:r>
      <w:hyperlink r:id="rId6" w:history="1">
        <w:r>
          <w:rPr>
            <w:rStyle w:val="Hyperlink"/>
            <w:rFonts w:ascii="Arial" w:hAnsi="Arial" w:cs="Arial"/>
            <w:szCs w:val="22"/>
          </w:rPr>
          <w:t>http://www.lds.sachsen.de/bekanntmachung</w:t>
        </w:r>
      </w:hyperlink>
      <w:r>
        <w:rPr>
          <w:rFonts w:ascii="Arial" w:hAnsi="Arial" w:cs="Arial"/>
          <w:szCs w:val="22"/>
        </w:rPr>
        <w:t xml:space="preserve"> unter der Rubrik Bundesstraßen einsehbar. </w:t>
      </w:r>
    </w:p>
    <w:p w:rsidR="00D6662C" w:rsidRDefault="00D6662C" w:rsidP="00D6662C">
      <w:pPr>
        <w:keepNext/>
        <w:spacing w:after="240"/>
        <w:jc w:val="both"/>
        <w:rPr>
          <w:rFonts w:ascii="Arial" w:hAnsi="Arial" w:cs="Arial"/>
          <w:szCs w:val="22"/>
        </w:rPr>
      </w:pPr>
      <w:r>
        <w:rPr>
          <w:rFonts w:ascii="Arial" w:hAnsi="Arial" w:cs="Arial"/>
          <w:szCs w:val="22"/>
        </w:rPr>
        <w:t>Maßgeblich ist der Inhalt der ausgelegten Unterlagen (§ 20 Abs. 2 S. 2 UVPG, § 27a Abs. 1 Satz 4 VwVfG).</w:t>
      </w:r>
    </w:p>
    <w:p w:rsidR="00D6662C" w:rsidRDefault="00D6662C" w:rsidP="00D6662C">
      <w:pPr>
        <w:keepNext/>
        <w:spacing w:after="240"/>
        <w:jc w:val="both"/>
        <w:rPr>
          <w:rFonts w:ascii="Arial" w:hAnsi="Arial" w:cs="Arial"/>
          <w:szCs w:val="22"/>
        </w:rPr>
      </w:pPr>
      <w:r>
        <w:rPr>
          <w:rFonts w:ascii="Arial" w:hAnsi="Arial" w:cs="Arial"/>
          <w:szCs w:val="22"/>
        </w:rPr>
        <w:t>Darüber hinaus sind die entscheidungserheblichen Unterlagen gemäß den Bestimmungen des Sächsischen Umweltinformationsgesetzes auf Antrag in der Landesdirektion Sachsen, Referat 32L, Braustraße 2, 04107 Leipzig zugänglich.</w:t>
      </w:r>
    </w:p>
    <w:p w:rsidR="00D6662C" w:rsidRDefault="00D6662C" w:rsidP="00D6662C">
      <w:pPr>
        <w:keepNext/>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einem Monat nach Ablauf der Auslegungsfrist, das ist bis zum </w:t>
      </w:r>
      <w:r>
        <w:rPr>
          <w:rFonts w:ascii="Arial" w:hAnsi="Arial" w:cs="Arial"/>
          <w:b/>
          <w:szCs w:val="22"/>
        </w:rPr>
        <w:t>3. Januar 2020</w:t>
      </w:r>
      <w:r>
        <w:rPr>
          <w:rFonts w:ascii="Arial" w:hAnsi="Arial" w:cs="Arial"/>
          <w:szCs w:val="22"/>
        </w:rPr>
        <w:t xml:space="preserve">, schriftlich bei der Landesdirektion Sachsen (Postfachanschrift: Landesdirektion Sachsen 09105 Chemnitz) sowie bei der Landesdirektion Sachsen, Dienststelle Leipzig, Braustraße 2, 04017 Leipzig oder bei der Stadtverwaltung </w:t>
      </w:r>
      <w:proofErr w:type="spellStart"/>
      <w:r>
        <w:rPr>
          <w:rFonts w:ascii="Arial" w:hAnsi="Arial" w:cs="Arial"/>
          <w:szCs w:val="22"/>
        </w:rPr>
        <w:t>Frohburg</w:t>
      </w:r>
      <w:proofErr w:type="spellEnd"/>
      <w:r>
        <w:rPr>
          <w:rFonts w:ascii="Arial" w:hAnsi="Arial" w:cs="Arial"/>
          <w:szCs w:val="22"/>
        </w:rPr>
        <w:t xml:space="preserve">, Markt 13-15, 04654 </w:t>
      </w:r>
      <w:proofErr w:type="spellStart"/>
      <w:r>
        <w:rPr>
          <w:rFonts w:ascii="Arial" w:hAnsi="Arial" w:cs="Arial"/>
          <w:szCs w:val="22"/>
        </w:rPr>
        <w:t>Frohburg</w:t>
      </w:r>
      <w:proofErr w:type="spellEnd"/>
      <w:r>
        <w:rPr>
          <w:rFonts w:ascii="Arial" w:hAnsi="Arial" w:cs="Arial"/>
          <w:szCs w:val="22"/>
        </w:rPr>
        <w:t xml:space="preserve"> bzw. der Verwaltungsgemeinschaft </w:t>
      </w:r>
      <w:proofErr w:type="spellStart"/>
      <w:r>
        <w:rPr>
          <w:rFonts w:ascii="Arial" w:hAnsi="Arial" w:cs="Arial"/>
          <w:szCs w:val="22"/>
        </w:rPr>
        <w:t>Pleißenaue</w:t>
      </w:r>
      <w:proofErr w:type="spellEnd"/>
      <w:r>
        <w:rPr>
          <w:rFonts w:ascii="Arial" w:hAnsi="Arial" w:cs="Arial"/>
          <w:szCs w:val="22"/>
        </w:rPr>
        <w:t xml:space="preserve">, Breite Straße 2, 04617 </w:t>
      </w:r>
      <w:proofErr w:type="spellStart"/>
      <w:r>
        <w:rPr>
          <w:rFonts w:ascii="Arial" w:hAnsi="Arial" w:cs="Arial"/>
          <w:szCs w:val="22"/>
        </w:rPr>
        <w:t>Treben</w:t>
      </w:r>
      <w:proofErr w:type="spellEnd"/>
      <w:r>
        <w:rPr>
          <w:rFonts w:ascii="Arial" w:hAnsi="Arial" w:cs="Arial"/>
          <w:szCs w:val="22"/>
        </w:rPr>
        <w:t>,</w:t>
      </w:r>
      <w:r>
        <w:rPr>
          <w:rFonts w:ascii="Arial" w:hAnsi="Arial" w:cs="Arial"/>
          <w:szCs w:val="22"/>
        </w:rPr>
        <w:t xml:space="preserve"> Einwendungen gegen den Plan schriftlich oder zur Niederschrift erheben bzw. sich äußern. Die Einwendung muss den geltend gemachten Belang und das Maß seiner Beeinträchtigung erkennen lassen. </w:t>
      </w:r>
    </w:p>
    <w:p w:rsidR="00D6662C" w:rsidRDefault="00D6662C" w:rsidP="00D6662C">
      <w:pPr>
        <w:keepNext/>
        <w:spacing w:after="240"/>
        <w:ind w:left="425" w:hanging="425"/>
        <w:jc w:val="both"/>
        <w:rPr>
          <w:rFonts w:ascii="Arial" w:hAnsi="Arial" w:cs="Arial"/>
          <w:szCs w:val="22"/>
        </w:rPr>
      </w:pPr>
      <w:r>
        <w:rPr>
          <w:rFonts w:ascii="Arial" w:hAnsi="Arial" w:cs="Arial"/>
          <w:szCs w:val="22"/>
        </w:rPr>
        <w:lastRenderedPageBreak/>
        <w:tab/>
        <w:t xml:space="preserve">Nach Ablauf dieser Frist sind für das Verfahren über die Zulässigkeit des Vorhabens alle Äußerungen, die nicht auf besonderen privatrechtlichen Titeln beruhen, ausgeschlossen, § 21 Abs. 4 S. 1 UVPG. Die Äußerungsfrist gilt auch für solche Einwendungen, die sich nicht auf die Umweltauswirkungen des Vorhabens beziehen, § 21 Abs. 5 UVPG. </w:t>
      </w:r>
    </w:p>
    <w:p w:rsidR="00D6662C" w:rsidRDefault="00D6662C" w:rsidP="00D6662C">
      <w:pPr>
        <w:keepNext/>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D6662C" w:rsidRDefault="00D6662C" w:rsidP="00D6662C">
      <w:pPr>
        <w:keepNext/>
        <w:spacing w:after="240"/>
        <w:ind w:left="425" w:hanging="425"/>
        <w:jc w:val="both"/>
        <w:rPr>
          <w:rFonts w:ascii="Arial" w:hAnsi="Arial" w:cs="Arial"/>
          <w:szCs w:val="22"/>
        </w:rPr>
      </w:pPr>
      <w:r>
        <w:rPr>
          <w:rFonts w:ascii="Arial" w:hAnsi="Arial" w:cs="Arial"/>
          <w:szCs w:val="22"/>
        </w:rPr>
        <w:t>2.</w:t>
      </w:r>
      <w:r>
        <w:rPr>
          <w:rFonts w:ascii="Arial" w:hAnsi="Arial" w:cs="Arial"/>
          <w:szCs w:val="22"/>
        </w:rPr>
        <w:tab/>
        <w:t>Vereinigungen, die aufgrund einer Anerkennung nach anderen Rechtsvorschriften befugt sind, Rechtsbehelfe nach der Verwaltungsgerichtsordnung gegen den Planfeststellungsbeschluss einzulegen, werden hiermit entsprechend von der Auslegung des Plans benachrichtigt. Sie können innerhalb der in der Nr. 1 genannten Frist Stellungnahmen zu dem Plan abgeben bzw. sich äußern.</w:t>
      </w:r>
    </w:p>
    <w:p w:rsidR="00D6662C" w:rsidRDefault="00D6662C" w:rsidP="00D6662C">
      <w:pPr>
        <w:keepNext/>
        <w:spacing w:after="240"/>
        <w:ind w:left="425" w:hanging="425"/>
        <w:jc w:val="both"/>
        <w:rPr>
          <w:rFonts w:ascii="Arial" w:hAnsi="Arial" w:cs="Arial"/>
          <w:szCs w:val="22"/>
        </w:rPr>
      </w:pPr>
      <w:r>
        <w:rPr>
          <w:rFonts w:ascii="Arial" w:hAnsi="Arial" w:cs="Arial"/>
          <w:szCs w:val="22"/>
        </w:rPr>
        <w:t xml:space="preserve">3. </w:t>
      </w:r>
      <w:r>
        <w:rPr>
          <w:rFonts w:ascii="Arial" w:hAnsi="Arial" w:cs="Arial"/>
          <w:szCs w:val="22"/>
        </w:rPr>
        <w:tab/>
        <w:t xml:space="preserve">Die Planfeststellungsbehörde kann auf eine  Erörterung der rechtzeitig erhobenen Stellungnahmen und Einwendungen verzichten (§ 17a Nr. 1 des Bundesfernstraßengesetzes -FStrG). Nach § 18 Abs. 1 S. 4 UVPG in Verbindung mit </w:t>
      </w:r>
      <w:r>
        <w:rPr>
          <w:rFonts w:ascii="Arial" w:hAnsi="Arial" w:cs="Arial"/>
          <w:szCs w:val="22"/>
        </w:rPr>
        <w:br/>
        <w:t>§ 73 Abs. 6 VwVfG ist für Äußerungen nach § 21 UVPG ein Erörterungstermin durchzuführen.</w:t>
      </w:r>
    </w:p>
    <w:p w:rsidR="00D6662C" w:rsidRDefault="00D6662C" w:rsidP="00D6662C">
      <w:pPr>
        <w:keepNext/>
        <w:spacing w:after="240"/>
        <w:ind w:left="425"/>
        <w:jc w:val="both"/>
        <w:rPr>
          <w:rFonts w:ascii="Arial" w:hAnsi="Arial" w:cs="Arial"/>
          <w:szCs w:val="22"/>
        </w:rPr>
      </w:pPr>
      <w:r>
        <w:rPr>
          <w:rFonts w:ascii="Arial" w:hAnsi="Arial" w:cs="Arial"/>
          <w:szCs w:val="22"/>
        </w:rPr>
        <w:t>Findet ein Erörterungstermin statt, wird er ortsüblich bekannt gemacht.</w:t>
      </w:r>
    </w:p>
    <w:p w:rsidR="00D6662C" w:rsidRDefault="00D6662C" w:rsidP="00D6662C">
      <w:pPr>
        <w:keepNext/>
        <w:spacing w:after="240"/>
        <w:ind w:left="426"/>
        <w:jc w:val="both"/>
        <w:rPr>
          <w:rFonts w:ascii="Arial" w:hAnsi="Arial" w:cs="Arial"/>
          <w:szCs w:val="22"/>
        </w:rPr>
      </w:pPr>
      <w:r>
        <w:rPr>
          <w:rFonts w:ascii="Arial" w:hAnsi="Arial" w:cs="Arial"/>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in Verbindung mit § 1 Satz 1 </w:t>
      </w:r>
      <w:proofErr w:type="spellStart"/>
      <w:r>
        <w:rPr>
          <w:rFonts w:ascii="Arial" w:hAnsi="Arial" w:cs="Arial"/>
          <w:szCs w:val="22"/>
        </w:rPr>
        <w:t>SächsVwVfZG</w:t>
      </w:r>
      <w:proofErr w:type="spellEnd"/>
      <w:r>
        <w:rPr>
          <w:rFonts w:ascii="Arial" w:hAnsi="Arial" w:cs="Arial"/>
          <w:szCs w:val="22"/>
        </w:rPr>
        <w:t xml:space="preserve">). </w:t>
      </w:r>
    </w:p>
    <w:p w:rsidR="00D6662C" w:rsidRDefault="00D6662C" w:rsidP="00D6662C">
      <w:pPr>
        <w:keepNext/>
        <w:spacing w:after="240"/>
        <w:ind w:left="426"/>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D6662C" w:rsidRDefault="00D6662C" w:rsidP="00D6662C">
      <w:pPr>
        <w:keepNext/>
        <w:spacing w:after="240"/>
        <w:ind w:left="426"/>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D6662C" w:rsidRDefault="00D6662C" w:rsidP="00D6662C">
      <w:pPr>
        <w:keepNext/>
        <w:spacing w:after="240"/>
        <w:ind w:left="426" w:hanging="1"/>
        <w:jc w:val="both"/>
        <w:rPr>
          <w:rFonts w:ascii="Arial" w:hAnsi="Arial" w:cs="Arial"/>
          <w:szCs w:val="22"/>
        </w:rPr>
      </w:pPr>
      <w:r>
        <w:rPr>
          <w:rFonts w:ascii="Arial" w:hAnsi="Arial" w:cs="Arial"/>
          <w:szCs w:val="22"/>
        </w:rPr>
        <w:t>Der Erörterungstermin ist nicht öffentlich.</w:t>
      </w:r>
    </w:p>
    <w:p w:rsidR="00D6662C" w:rsidRDefault="00D6662C" w:rsidP="00D6662C">
      <w:pPr>
        <w:keepNext/>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oder Abgabe von Stellungnahmen, Teilnahme am Erörterungstermin oder Vertreterbestellung entstehende Kosten werden nicht erstattet.</w:t>
      </w:r>
    </w:p>
    <w:p w:rsidR="00D6662C" w:rsidRDefault="00D6662C" w:rsidP="00D6662C">
      <w:pPr>
        <w:keepNext/>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D6662C" w:rsidRDefault="00D6662C" w:rsidP="00D6662C">
      <w:pPr>
        <w:keepNext/>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D6662C" w:rsidRDefault="00D6662C" w:rsidP="00D6662C">
      <w:pPr>
        <w:keepNext/>
        <w:spacing w:after="240"/>
        <w:ind w:left="425" w:hanging="425"/>
        <w:jc w:val="both"/>
        <w:rPr>
          <w:rFonts w:ascii="Arial" w:hAnsi="Arial" w:cs="Arial"/>
          <w:szCs w:val="22"/>
        </w:rPr>
      </w:pPr>
      <w:r>
        <w:rPr>
          <w:rFonts w:ascii="Arial" w:hAnsi="Arial" w:cs="Arial"/>
          <w:szCs w:val="22"/>
        </w:rPr>
        <w:lastRenderedPageBreak/>
        <w:t>7.</w:t>
      </w:r>
      <w:r>
        <w:rPr>
          <w:rFonts w:ascii="Arial" w:hAnsi="Arial" w:cs="Arial"/>
          <w:szCs w:val="22"/>
        </w:rPr>
        <w:tab/>
        <w:t xml:space="preserve">Vom Beginn der Auslegung des Planes treten die Anbaubeschränkungen nach </w:t>
      </w:r>
      <w:r>
        <w:rPr>
          <w:rFonts w:ascii="Arial" w:hAnsi="Arial" w:cs="Arial"/>
          <w:szCs w:val="22"/>
        </w:rPr>
        <w:br/>
        <w:t xml:space="preserve">§ 9 FStrG und die Veränderungssperre nach § 9a FStrG in Kraft. Darüber hinaus steht ab diesem Zeitpunkt dem Träger der Straßenbaulast ein Vorkaufsrecht an den vom Plan betroffenen Flächen zu (§ 9a Abs. 6 FStrG). </w:t>
      </w:r>
    </w:p>
    <w:p w:rsidR="00D6662C" w:rsidRDefault="00D6662C" w:rsidP="00D6662C">
      <w:pPr>
        <w:keepNext/>
        <w:spacing w:after="240"/>
        <w:ind w:left="425" w:hanging="425"/>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 dass</w:t>
      </w:r>
    </w:p>
    <w:p w:rsidR="00D6662C" w:rsidRDefault="00D6662C" w:rsidP="00D6662C">
      <w:pPr>
        <w:keepNext/>
        <w:spacing w:after="240"/>
        <w:ind w:left="425" w:hanging="425"/>
        <w:jc w:val="both"/>
        <w:rPr>
          <w:rFonts w:ascii="Arial" w:hAnsi="Arial" w:cs="Arial"/>
          <w:szCs w:val="22"/>
        </w:rPr>
      </w:pPr>
      <w:r>
        <w:rPr>
          <w:rFonts w:ascii="Arial" w:hAnsi="Arial" w:cs="Arial"/>
          <w:szCs w:val="22"/>
        </w:rPr>
        <w:tab/>
        <w:t>a) die für das Verfahren und für die Entscheidung über die Zulässigkeit des Vorhabens die Landesdirektion Sachsen die zuständige Behörde ist,</w:t>
      </w:r>
    </w:p>
    <w:p w:rsidR="00D6662C" w:rsidRDefault="00D6662C" w:rsidP="00D6662C">
      <w:pPr>
        <w:keepNext/>
        <w:spacing w:after="240"/>
        <w:ind w:left="425" w:hanging="425"/>
        <w:jc w:val="both"/>
        <w:rPr>
          <w:rFonts w:ascii="Arial" w:hAnsi="Arial" w:cs="Arial"/>
          <w:szCs w:val="22"/>
        </w:rPr>
      </w:pPr>
      <w:r>
        <w:rPr>
          <w:rFonts w:ascii="Arial" w:hAnsi="Arial" w:cs="Arial"/>
          <w:szCs w:val="22"/>
        </w:rPr>
        <w:tab/>
        <w:t>b)</w:t>
      </w:r>
      <w:r>
        <w:rPr>
          <w:rFonts w:ascii="Arial" w:hAnsi="Arial" w:cs="Arial"/>
          <w:szCs w:val="22"/>
        </w:rPr>
        <w:tab/>
        <w:t>über die Zulässigkeit des Vorhabens durch Planfeststellungsbeschluss entschieden wird.</w:t>
      </w:r>
    </w:p>
    <w:p w:rsidR="00D6662C" w:rsidRDefault="00D6662C" w:rsidP="00D6662C">
      <w:pPr>
        <w:spacing w:after="240"/>
        <w:ind w:left="426"/>
        <w:jc w:val="both"/>
        <w:rPr>
          <w:rFonts w:ascii="Arial" w:hAnsi="Arial" w:cs="Arial"/>
          <w:szCs w:val="22"/>
        </w:rPr>
      </w:pPr>
      <w:r>
        <w:rPr>
          <w:rFonts w:ascii="Arial" w:hAnsi="Arial" w:cs="Arial"/>
          <w:szCs w:val="22"/>
        </w:rPr>
        <w:t>c)</w:t>
      </w:r>
      <w:r>
        <w:rPr>
          <w:rFonts w:ascii="Arial" w:hAnsi="Arial" w:cs="Arial"/>
          <w:szCs w:val="22"/>
        </w:rPr>
        <w:tab/>
        <w:t>weitere relevante Informationen zu dem Planfeststellungsverfahren bei der Landesdirektion Sachsen, Dienststelle Leipzig erhältlich sind und bei ihr Äußerungen und Fragen bis einschließlich 5. November 2019 eingereicht werden können.</w:t>
      </w:r>
    </w:p>
    <w:p w:rsidR="00D6662C" w:rsidRDefault="00D6662C" w:rsidP="00D6662C">
      <w:pPr>
        <w:suppressAutoHyphens/>
        <w:ind w:right="-86"/>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D6662C" w:rsidRDefault="00D6662C" w:rsidP="00D6662C">
      <w:pPr>
        <w:suppressAutoHyphens/>
        <w:ind w:right="-86"/>
        <w:jc w:val="both"/>
        <w:rPr>
          <w:rFonts w:ascii="Arial" w:hAnsi="Arial" w:cs="Arial"/>
          <w:szCs w:val="22"/>
        </w:rPr>
      </w:pPr>
    </w:p>
    <w:p w:rsidR="00D6662C" w:rsidRDefault="00D6662C" w:rsidP="00D6662C">
      <w:pPr>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D6662C" w:rsidRDefault="00D6662C" w:rsidP="00D6662C">
      <w:pPr>
        <w:keepNext/>
        <w:spacing w:after="240"/>
        <w:ind w:left="425" w:hanging="425"/>
        <w:jc w:val="both"/>
        <w:rPr>
          <w:rFonts w:ascii="Arial" w:hAnsi="Arial" w:cs="Arial"/>
          <w:szCs w:val="22"/>
        </w:rPr>
      </w:pPr>
    </w:p>
    <w:p w:rsidR="00D6662C" w:rsidRDefault="00D6662C" w:rsidP="00D6662C">
      <w:pPr>
        <w:keepNext/>
        <w:ind w:left="426" w:hanging="426"/>
        <w:rPr>
          <w:rFonts w:ascii="Arial" w:hAnsi="Arial" w:cs="Arial"/>
          <w:szCs w:val="22"/>
        </w:rPr>
      </w:pPr>
    </w:p>
    <w:p w:rsidR="00D6662C" w:rsidRDefault="00D6662C" w:rsidP="00D6662C">
      <w:pPr>
        <w:keepNext/>
      </w:pPr>
      <w:bookmarkStart w:id="0" w:name="_GoBack"/>
      <w:bookmarkEnd w:id="0"/>
    </w:p>
    <w:p w:rsidR="00D6662C" w:rsidRDefault="00D6662C" w:rsidP="00D6662C">
      <w:pPr>
        <w:keepNext/>
      </w:pPr>
    </w:p>
    <w:p w:rsidR="00D6662C" w:rsidRDefault="00D6662C" w:rsidP="00D6662C"/>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2C"/>
    <w:rsid w:val="000534CB"/>
    <w:rsid w:val="00336B32"/>
    <w:rsid w:val="00576C80"/>
    <w:rsid w:val="00701D3A"/>
    <w:rsid w:val="00827AF7"/>
    <w:rsid w:val="00AB7524"/>
    <w:rsid w:val="00B07DF4"/>
    <w:rsid w:val="00B27632"/>
    <w:rsid w:val="00CD4543"/>
    <w:rsid w:val="00D6662C"/>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662C"/>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66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662C"/>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66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AA65DCB2</Template>
  <TotalTime>0</TotalTime>
  <Pages>4</Pages>
  <Words>1256</Words>
  <Characters>9019</Characters>
  <Application>Microsoft Office Word</Application>
  <DocSecurity>0</DocSecurity>
  <Lines>75</Lines>
  <Paragraphs>20</Paragraphs>
  <ScaleCrop>false</ScaleCrop>
  <Company>LDL</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2019-10-30T08:43:00Z</dcterms:created>
  <dcterms:modified xsi:type="dcterms:W3CDTF">2019-10-30T08:46:00Z</dcterms:modified>
</cp:coreProperties>
</file>