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1D852" w14:textId="77777777" w:rsidR="00BA0AFF" w:rsidRPr="0094474C" w:rsidRDefault="00BA0AFF" w:rsidP="00BA0AFF">
      <w:pPr>
        <w:spacing w:after="0"/>
        <w:jc w:val="center"/>
        <w:rPr>
          <w:b/>
        </w:rPr>
      </w:pPr>
      <w:r>
        <w:rPr>
          <w:b/>
        </w:rPr>
        <w:t>Bekanntgabe</w:t>
      </w:r>
    </w:p>
    <w:p w14:paraId="7104CB34" w14:textId="77777777" w:rsidR="00BA0AFF" w:rsidRDefault="00BA0AFF" w:rsidP="00BA0AFF">
      <w:pPr>
        <w:spacing w:after="0"/>
        <w:jc w:val="center"/>
        <w:rPr>
          <w:b/>
        </w:rPr>
      </w:pPr>
      <w:r w:rsidRPr="00981D00">
        <w:rPr>
          <w:b/>
        </w:rPr>
        <w:t>der</w:t>
      </w:r>
      <w:r>
        <w:rPr>
          <w:b/>
        </w:rPr>
        <w:t xml:space="preserve"> Landesdirektion </w:t>
      </w:r>
      <w:r w:rsidRPr="00981D00">
        <w:rPr>
          <w:b/>
        </w:rPr>
        <w:t>Sachsen</w:t>
      </w:r>
    </w:p>
    <w:p w14:paraId="5FF48F30" w14:textId="77777777" w:rsidR="00BA0AFF" w:rsidRDefault="00BA0AFF" w:rsidP="00BA0AFF">
      <w:pPr>
        <w:spacing w:after="0"/>
        <w:jc w:val="center"/>
        <w:rPr>
          <w:b/>
        </w:rPr>
      </w:pPr>
      <w:r>
        <w:rPr>
          <w:b/>
        </w:rPr>
        <w:t>nach § 5 Absatz 2 des Gesetzes über die Umweltverträglichkeitsprüfung</w:t>
      </w:r>
    </w:p>
    <w:p w14:paraId="19005E8E" w14:textId="77777777" w:rsidR="003753B2" w:rsidRDefault="00BA0AFF" w:rsidP="00BA0AFF">
      <w:pPr>
        <w:spacing w:after="0"/>
        <w:jc w:val="center"/>
        <w:rPr>
          <w:b/>
        </w:rPr>
      </w:pPr>
      <w:r w:rsidRPr="00981D00">
        <w:rPr>
          <w:b/>
        </w:rPr>
        <w:t>für das Vorhaben</w:t>
      </w:r>
      <w:r>
        <w:rPr>
          <w:b/>
        </w:rPr>
        <w:t xml:space="preserve"> </w:t>
      </w:r>
      <w:r w:rsidRPr="00BA0AFF">
        <w:rPr>
          <w:b/>
        </w:rPr>
        <w:t>„Leitungsumbau der 110-kV-Bahnstromleitung Chemnitz- Dresden Niedersedlitz, BL 305 sowie 110-kV-Leitung Dresden/Gorbitz – Dresden Süd der Anlage 140 der SachsenNetze HS.HD GmbH“</w:t>
      </w:r>
    </w:p>
    <w:p w14:paraId="442603AC" w14:textId="6822C585" w:rsidR="00BA0AFF" w:rsidRPr="00981D00" w:rsidRDefault="00BA0AFF" w:rsidP="00BA0AFF">
      <w:pPr>
        <w:spacing w:after="0"/>
        <w:jc w:val="center"/>
        <w:rPr>
          <w:b/>
        </w:rPr>
      </w:pPr>
      <w:r w:rsidRPr="00BA0AFF">
        <w:rPr>
          <w:b/>
        </w:rPr>
        <w:t xml:space="preserve"> </w:t>
      </w:r>
    </w:p>
    <w:p w14:paraId="0167B228" w14:textId="77777777" w:rsidR="00BA0AFF" w:rsidRPr="0015340F" w:rsidRDefault="00BA0AFF" w:rsidP="003753B2">
      <w:pPr>
        <w:spacing w:after="0"/>
        <w:jc w:val="center"/>
        <w:rPr>
          <w:b/>
          <w:color w:val="0070C0"/>
        </w:rPr>
      </w:pPr>
      <w:r>
        <w:rPr>
          <w:b/>
        </w:rPr>
        <w:t>G</w:t>
      </w:r>
      <w:r w:rsidRPr="00981D00">
        <w:rPr>
          <w:b/>
        </w:rPr>
        <w:t>z.:</w:t>
      </w:r>
      <w:r>
        <w:rPr>
          <w:b/>
        </w:rPr>
        <w:t xml:space="preserve"> </w:t>
      </w:r>
      <w:r w:rsidR="00A9025E">
        <w:rPr>
          <w:b/>
        </w:rPr>
        <w:t>32-8301/22/42-2021</w:t>
      </w:r>
      <w:r w:rsidRPr="00981D00">
        <w:rPr>
          <w:b/>
        </w:rPr>
        <w:t xml:space="preserve"> </w:t>
      </w:r>
    </w:p>
    <w:p w14:paraId="48C31F70" w14:textId="77777777" w:rsidR="003753B2" w:rsidRPr="003753B2" w:rsidRDefault="003753B2" w:rsidP="003753B2">
      <w:pPr>
        <w:jc w:val="center"/>
        <w:rPr>
          <w:b/>
          <w:color w:val="0070C0"/>
        </w:rPr>
      </w:pPr>
    </w:p>
    <w:p w14:paraId="15027726" w14:textId="77777777" w:rsidR="00BA0AFF" w:rsidRPr="00BA0AFF" w:rsidRDefault="00BA0AFF" w:rsidP="00BA0AFF">
      <w:pPr>
        <w:ind w:firstLine="567"/>
      </w:pPr>
      <w:r w:rsidRPr="00BA0AFF">
        <w:t>Diese Bekanntgabe erfolgt gemäß § 5 Absatz 2 Sätze 1 bis 3 des Gesetzes über die Umweltverträglichkeitsprüfung in der Fassung der Bekanntmachung vom 24. Februar 2010 (BGBl. I S. 94), das zuletzt durch Artikel 2 des Gesetzes vom 12. Dezember 2019 (BGBl. I S. 2513) geändert worden ist.</w:t>
      </w:r>
    </w:p>
    <w:p w14:paraId="1AA19E56" w14:textId="77777777" w:rsidR="00BA0AFF" w:rsidRPr="00BA0AFF" w:rsidRDefault="00BA0AFF" w:rsidP="00BA0AFF">
      <w:pPr>
        <w:spacing w:before="240"/>
        <w:ind w:firstLine="567"/>
      </w:pPr>
      <w:r w:rsidRPr="00BA0AFF">
        <w:t>Die</w:t>
      </w:r>
      <w:r>
        <w:t xml:space="preserve"> Kaufpark Dresden-Nickern GmbH &amp; Co. KG, Am Rondell 1, 12529 Schönefeld</w:t>
      </w:r>
      <w:r w:rsidRPr="00BA0AFF">
        <w:t xml:space="preserve"> hat bei der Landesdirektion Sachsen mit Schreiben vom </w:t>
      </w:r>
      <w:r>
        <w:t>20. Mai 2021</w:t>
      </w:r>
      <w:r w:rsidRPr="00BA0AFF">
        <w:t xml:space="preserve"> </w:t>
      </w:r>
      <w:r w:rsidRPr="00BA0AFF">
        <w:rPr>
          <w:rFonts w:cs="Arial"/>
          <w:szCs w:val="22"/>
        </w:rPr>
        <w:t>die Feststellung beantragt, ob für das Vorhaben eine Verpflichtung zur Durchführung einer Umweltverträglichkeitsprüfung besteht.</w:t>
      </w:r>
    </w:p>
    <w:p w14:paraId="4543FF31" w14:textId="1D051C7E" w:rsidR="00BA0AFF" w:rsidRPr="00BA0AFF" w:rsidRDefault="00BA0AFF" w:rsidP="00BA0AFF">
      <w:pPr>
        <w:spacing w:before="240"/>
        <w:ind w:firstLine="567"/>
      </w:pPr>
      <w:r w:rsidRPr="00BA0AFF">
        <w:t xml:space="preserve">Das Vorhaben </w:t>
      </w:r>
      <w:r>
        <w:t xml:space="preserve">„Leitungsumbau der 110-kV-Bahnstromleitung Chemnitz- Dresden Niedersedlitz, BL 305 sowie 110-kV-Leitung Dresden/Gorbitz – Dresden Süd der Anlage </w:t>
      </w:r>
      <w:r w:rsidR="003753B2">
        <w:t>140“ der SachsenNetze HS.HD GmbH</w:t>
      </w:r>
      <w:r w:rsidRPr="00BA0AFF">
        <w:t xml:space="preserve"> fällt in den Anwendungsbereich des Gesetzes über die Umweltverträglichkeitsprüfung. Dementsprechend hat die Landesdirektion Sachsen eine standortbezogene Vorprüfung des Einzelfalls vorgenommen.</w:t>
      </w:r>
    </w:p>
    <w:p w14:paraId="5CA1CC3F" w14:textId="77777777" w:rsidR="00A9025E" w:rsidRDefault="00BA0AFF" w:rsidP="00A9025E">
      <w:pPr>
        <w:spacing w:before="240"/>
        <w:ind w:firstLine="567"/>
      </w:pPr>
      <w:r w:rsidRPr="00BA0AFF">
        <w:t xml:space="preserve">Im Rahmen dieser Vorprüfung wurde am </w:t>
      </w:r>
      <w:r w:rsidR="00A9025E">
        <w:t>01. Juli 2021</w:t>
      </w:r>
      <w:r w:rsidRPr="00BA0AFF">
        <w:t xml:space="preserv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w:t>
      </w:r>
      <w:r w:rsidR="00A9025E">
        <w:t xml:space="preserve"> </w:t>
      </w:r>
      <w:r w:rsidRPr="00BA0AFF">
        <w:t xml:space="preserve">sind folgende wesentliche Gründe </w:t>
      </w:r>
      <w:r w:rsidR="00A9025E">
        <w:t>maßgebend:</w:t>
      </w:r>
    </w:p>
    <w:p w14:paraId="462577BC" w14:textId="77777777" w:rsidR="00BA0AFF" w:rsidRPr="00BA0AFF" w:rsidRDefault="00BA0AFF" w:rsidP="00A9025E">
      <w:pPr>
        <w:spacing w:before="240"/>
        <w:ind w:firstLine="567"/>
      </w:pPr>
      <w:r w:rsidRPr="00BA0AFF">
        <w:rPr>
          <w:i/>
          <w:color w:val="0070C0"/>
        </w:rPr>
        <w:tab/>
      </w:r>
      <w:r w:rsidRPr="00BA0AFF">
        <w:t>Nicht vorhandene</w:t>
      </w:r>
    </w:p>
    <w:p w14:paraId="266F41E3"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Natura 2000-Gebiete,</w:t>
      </w:r>
    </w:p>
    <w:p w14:paraId="153F6C19"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Naturschutzgebiete,</w:t>
      </w:r>
    </w:p>
    <w:p w14:paraId="3D22AB43"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Nationalparke und Nationale Naturmonumente,</w:t>
      </w:r>
    </w:p>
    <w:p w14:paraId="7610FB4F"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Biosphärenreservate und Landschaftsschutzgebiete,</w:t>
      </w:r>
    </w:p>
    <w:p w14:paraId="0485FAF7"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Naturdenkmäler,</w:t>
      </w:r>
    </w:p>
    <w:p w14:paraId="22F9938C"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geschützte Landschaftsbestandteile, einschließlich Alleen,</w:t>
      </w:r>
    </w:p>
    <w:p w14:paraId="5B9E3614"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gesetzlich geschützte Biotope,</w:t>
      </w:r>
    </w:p>
    <w:p w14:paraId="5F8D7D66"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Wasserschutzgebiete, Heilquellenschutzgebiete, Risikogebiete sowie Überschwemmungsgebiete,</w:t>
      </w:r>
    </w:p>
    <w:p w14:paraId="52108D9E" w14:textId="77777777" w:rsidR="00BA0AFF" w:rsidRPr="00BA0AFF" w:rsidRDefault="00BA0AFF" w:rsidP="00BA0AFF">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Gebiete, in denen die in Vorschriften der Europäischen Union festgelegten Umweltqualitätsnormen bereits überschritten sind,</w:t>
      </w:r>
    </w:p>
    <w:p w14:paraId="2AB7D2BB" w14:textId="64C925DA" w:rsidR="009534C8" w:rsidRDefault="00BA0AFF" w:rsidP="009534C8">
      <w:pPr>
        <w:numPr>
          <w:ilvl w:val="0"/>
          <w:numId w:val="1"/>
        </w:numPr>
        <w:tabs>
          <w:tab w:val="left" w:pos="567"/>
        </w:tabs>
        <w:spacing w:before="240"/>
        <w:ind w:left="1135" w:hanging="284"/>
        <w:contextualSpacing/>
        <w:rPr>
          <w:rFonts w:eastAsia="Arial Unicode MS"/>
          <w:lang w:eastAsia="zh-CN"/>
        </w:rPr>
      </w:pPr>
      <w:r w:rsidRPr="00BA0AFF">
        <w:rPr>
          <w:rFonts w:eastAsia="Arial Unicode MS"/>
          <w:lang w:eastAsia="zh-CN"/>
        </w:rPr>
        <w:t>in amtlichen Listen oder Karten verzeichnete Denkmäler, Denkmalensembles, Bodendenkmäler oder Gebiete, die von der durch die Länder bestimmten Denkmalschutzbehörde als archäologisch bedeutende Landschaften eingestuft worden sind.</w:t>
      </w:r>
    </w:p>
    <w:p w14:paraId="13BE1788" w14:textId="77777777" w:rsidR="009534C8" w:rsidRPr="009534C8" w:rsidRDefault="009534C8" w:rsidP="009534C8">
      <w:pPr>
        <w:tabs>
          <w:tab w:val="left" w:pos="567"/>
        </w:tabs>
        <w:spacing w:before="240"/>
        <w:ind w:left="1135"/>
        <w:contextualSpacing/>
        <w:rPr>
          <w:rFonts w:eastAsia="Arial Unicode MS"/>
          <w:lang w:eastAsia="zh-CN"/>
        </w:rPr>
      </w:pPr>
    </w:p>
    <w:p w14:paraId="336513BD" w14:textId="5F494411" w:rsidR="00A9025E" w:rsidRDefault="00A9025E" w:rsidP="009534C8">
      <w:pPr>
        <w:tabs>
          <w:tab w:val="left" w:pos="567"/>
        </w:tabs>
        <w:spacing w:before="240"/>
        <w:contextualSpacing/>
        <w:rPr>
          <w:rFonts w:eastAsia="Arial Unicode MS"/>
          <w:lang w:eastAsia="zh-CN"/>
        </w:rPr>
      </w:pPr>
      <w:r>
        <w:rPr>
          <w:rFonts w:eastAsia="Arial Unicode MS"/>
          <w:lang w:eastAsia="zh-CN"/>
        </w:rPr>
        <w:t>Das Vorhaben liegt in der Stadt Dresden im Stadtteil Nickern</w:t>
      </w:r>
      <w:r w:rsidR="007008D2">
        <w:rPr>
          <w:rFonts w:eastAsia="Arial Unicode MS"/>
          <w:lang w:eastAsia="zh-CN"/>
        </w:rPr>
        <w:t xml:space="preserve"> </w:t>
      </w:r>
      <w:r>
        <w:rPr>
          <w:rFonts w:eastAsia="Arial Unicode MS"/>
          <w:lang w:eastAsia="zh-CN"/>
        </w:rPr>
        <w:t xml:space="preserve">in einem Gebiet mit hoher Bevölkerungsdichte </w:t>
      </w:r>
      <w:r w:rsidR="007008D2">
        <w:rPr>
          <w:rFonts w:eastAsia="Arial Unicode MS"/>
          <w:lang w:eastAsia="zh-CN"/>
        </w:rPr>
        <w:t xml:space="preserve">und muss als </w:t>
      </w:r>
      <w:r>
        <w:rPr>
          <w:rFonts w:eastAsia="Arial Unicode MS"/>
          <w:lang w:eastAsia="zh-CN"/>
        </w:rPr>
        <w:t>Zentralen Ort im Sinne des § 2 Abs. 2 Nr. 2 Raumordnungsgesetz (ROG)</w:t>
      </w:r>
      <w:r w:rsidR="007008D2">
        <w:rPr>
          <w:rFonts w:eastAsia="Arial Unicode MS"/>
          <w:lang w:eastAsia="zh-CN"/>
        </w:rPr>
        <w:t xml:space="preserve"> angesprochen werden</w:t>
      </w:r>
      <w:r>
        <w:rPr>
          <w:rFonts w:eastAsia="Arial Unicode MS"/>
          <w:lang w:eastAsia="zh-CN"/>
        </w:rPr>
        <w:t xml:space="preserve">. Bei dem Vorhaben handelt es sich um </w:t>
      </w:r>
      <w:r w:rsidR="007008D2">
        <w:rPr>
          <w:rFonts w:eastAsia="Arial Unicode MS"/>
          <w:lang w:eastAsia="zh-CN"/>
        </w:rPr>
        <w:t>eine</w:t>
      </w:r>
      <w:r>
        <w:rPr>
          <w:rFonts w:eastAsia="Arial Unicode MS"/>
          <w:lang w:eastAsia="zh-CN"/>
        </w:rPr>
        <w:t xml:space="preserve"> geringfügige Verlagerung von insgesamt vier 110-kV-Bestandsmasten zum Zwecke der Neuordnung der Flächennutzung am bestehenden großflächigen Einzelhandelsstandort. Zu </w:t>
      </w:r>
      <w:r>
        <w:rPr>
          <w:rFonts w:eastAsia="Arial Unicode MS"/>
          <w:lang w:eastAsia="zh-CN"/>
        </w:rPr>
        <w:lastRenderedPageBreak/>
        <w:t>einer größeren Flächeninanspruchnahme bishe</w:t>
      </w:r>
      <w:bookmarkStart w:id="0" w:name="_GoBack"/>
      <w:bookmarkEnd w:id="0"/>
      <w:r>
        <w:rPr>
          <w:rFonts w:eastAsia="Arial Unicode MS"/>
          <w:lang w:eastAsia="zh-CN"/>
        </w:rPr>
        <w:t xml:space="preserve">r </w:t>
      </w:r>
      <w:r w:rsidR="007008D2">
        <w:rPr>
          <w:rFonts w:eastAsia="Arial Unicode MS"/>
          <w:lang w:eastAsia="zh-CN"/>
        </w:rPr>
        <w:t>unbelasteter Flächen</w:t>
      </w:r>
      <w:r>
        <w:rPr>
          <w:rFonts w:eastAsia="Arial Unicode MS"/>
          <w:lang w:eastAsia="zh-CN"/>
        </w:rPr>
        <w:t xml:space="preserve"> oder Änderung der bestehenden Nutzung in diesem anthropogen überprägten Raum kommt es durch die Verlagerung</w:t>
      </w:r>
      <w:r w:rsidR="007008D2">
        <w:rPr>
          <w:rFonts w:eastAsia="Arial Unicode MS"/>
          <w:lang w:eastAsia="zh-CN"/>
        </w:rPr>
        <w:t xml:space="preserve"> der Maste nicht.</w:t>
      </w:r>
      <w:r>
        <w:rPr>
          <w:rFonts w:eastAsia="Arial Unicode MS"/>
          <w:lang w:eastAsia="zh-CN"/>
        </w:rPr>
        <w:t xml:space="preserve"> </w:t>
      </w:r>
    </w:p>
    <w:p w14:paraId="18C51C6A" w14:textId="77777777" w:rsidR="009534C8" w:rsidRDefault="009534C8" w:rsidP="009534C8">
      <w:pPr>
        <w:tabs>
          <w:tab w:val="left" w:pos="567"/>
        </w:tabs>
        <w:spacing w:before="240"/>
        <w:contextualSpacing/>
        <w:rPr>
          <w:i/>
          <w:color w:val="0070C0"/>
        </w:rPr>
      </w:pPr>
    </w:p>
    <w:p w14:paraId="47B30124" w14:textId="77777777" w:rsidR="00BA0AFF" w:rsidRPr="00BA0AFF" w:rsidRDefault="00BA0AFF" w:rsidP="00BA0AFF">
      <w:pPr>
        <w:spacing w:before="240"/>
        <w:ind w:firstLine="567"/>
      </w:pPr>
      <w:r w:rsidRPr="00BA0AFF">
        <w:t xml:space="preserve">Für die Entscheidung, dass für das Vorhaben keine Pflicht zur Durchführung einer Umweltverträglichkeitsprüfung besteht, sind die folgenden Merkmale des </w:t>
      </w:r>
      <w:r w:rsidR="007008D2" w:rsidRPr="00BA0AFF">
        <w:t>Vorhabens maßgebend</w:t>
      </w:r>
      <w:r w:rsidRPr="00BA0AFF">
        <w:t>:</w:t>
      </w:r>
    </w:p>
    <w:p w14:paraId="393FA6DB" w14:textId="77777777" w:rsidR="007008D2" w:rsidRDefault="00BA0AFF" w:rsidP="007008D2">
      <w:pPr>
        <w:tabs>
          <w:tab w:val="left" w:pos="284"/>
        </w:tabs>
        <w:spacing w:before="240"/>
        <w:ind w:left="851" w:hanging="284"/>
      </w:pPr>
      <w:r w:rsidRPr="00BA0AFF">
        <w:t>-</w:t>
      </w:r>
      <w:r w:rsidRPr="00BA0AFF">
        <w:tab/>
        <w:t>Nichtvorliegen besonderer örtlicher Gegebenheiten</w:t>
      </w:r>
    </w:p>
    <w:p w14:paraId="59F10529" w14:textId="77777777" w:rsidR="00BA0AFF" w:rsidRPr="00BA0AFF" w:rsidRDefault="00BA0AFF" w:rsidP="007008D2">
      <w:pPr>
        <w:tabs>
          <w:tab w:val="left" w:pos="284"/>
        </w:tabs>
        <w:spacing w:before="240"/>
        <w:ind w:left="851" w:hanging="284"/>
      </w:pPr>
      <w:r w:rsidRPr="00BA0AFF">
        <w:t>Diese Feststellung ist nicht selbstständig anfechtbar.</w:t>
      </w:r>
    </w:p>
    <w:p w14:paraId="0E5FDB6D" w14:textId="77777777" w:rsidR="00BA0AFF" w:rsidRPr="00BA0AFF" w:rsidRDefault="00BA0AFF" w:rsidP="00BA0AFF">
      <w:pPr>
        <w:spacing w:before="240"/>
        <w:ind w:firstLine="567"/>
      </w:pPr>
      <w:r w:rsidRPr="00BA0AFF">
        <w:t xml:space="preserve">Die entscheidungsrelevanten Unterlagen sind der Öffentlichkeit in der Landesdirektion Sachsen, Referat 32, </w:t>
      </w:r>
      <w:r w:rsidRPr="00BA0AFF">
        <w:rPr>
          <w:rFonts w:cs="Arial"/>
          <w:szCs w:val="22"/>
        </w:rPr>
        <w:t>Stauffenbergallee 2, 01099 Dresden</w:t>
      </w:r>
      <w:r w:rsidRPr="00BA0AFF">
        <w:rPr>
          <w:rFonts w:cs="Arial"/>
          <w:color w:val="0070C0"/>
          <w:szCs w:val="22"/>
        </w:rPr>
        <w:t xml:space="preserve"> </w:t>
      </w:r>
      <w:r w:rsidRPr="00BA0AFF">
        <w:t>zugänglich.</w:t>
      </w:r>
    </w:p>
    <w:p w14:paraId="0E719CCC" w14:textId="76F6AEF5" w:rsidR="00BA0AFF" w:rsidRPr="00A16469" w:rsidRDefault="00BA0AFF" w:rsidP="00BA0AFF">
      <w:pPr>
        <w:spacing w:before="240"/>
        <w:ind w:firstLine="567"/>
        <w:rPr>
          <w:rFonts w:cs="Arial"/>
          <w:szCs w:val="22"/>
        </w:rPr>
      </w:pPr>
      <w:r w:rsidRPr="00BA0AFF">
        <w:rPr>
          <w:rFonts w:cs="Arial"/>
          <w:color w:val="000000"/>
          <w:szCs w:val="22"/>
        </w:rPr>
        <w:t>Die Bekanntgabe ist auf der Internetseite der Lan</w:t>
      </w:r>
      <w:r w:rsidRPr="00A16469">
        <w:rPr>
          <w:rFonts w:cs="Arial"/>
          <w:szCs w:val="22"/>
        </w:rPr>
        <w:t xml:space="preserve">desdirektion Sachsen unter </w:t>
      </w:r>
      <w:r w:rsidRPr="00A16469">
        <w:rPr>
          <w:rFonts w:cs="Arial"/>
          <w:szCs w:val="22"/>
          <w:u w:val="single"/>
        </w:rPr>
        <w:t>http://www.lds.sachsen.de/bekanntmachung</w:t>
      </w:r>
      <w:r w:rsidRPr="00A16469">
        <w:rPr>
          <w:rFonts w:cs="Arial"/>
          <w:szCs w:val="22"/>
        </w:rPr>
        <w:t xml:space="preserve"> unter der Rubrik </w:t>
      </w:r>
      <w:r w:rsidR="003753B2" w:rsidRPr="00A16469">
        <w:rPr>
          <w:rFonts w:cs="Arial"/>
          <w:szCs w:val="22"/>
        </w:rPr>
        <w:t>Infrastruktur - Energie</w:t>
      </w:r>
      <w:r w:rsidRPr="00A16469">
        <w:rPr>
          <w:rFonts w:cs="Arial"/>
          <w:szCs w:val="22"/>
        </w:rPr>
        <w:t xml:space="preserve"> einsehbar.</w:t>
      </w:r>
    </w:p>
    <w:p w14:paraId="3798FA6D" w14:textId="10D67DFC" w:rsidR="00BA0AFF" w:rsidRPr="00A16469" w:rsidRDefault="007008D2" w:rsidP="00BA0AFF">
      <w:pPr>
        <w:autoSpaceDE w:val="0"/>
        <w:autoSpaceDN w:val="0"/>
        <w:adjustRightInd w:val="0"/>
      </w:pPr>
      <w:r w:rsidRPr="00A16469">
        <w:t>Dresden</w:t>
      </w:r>
      <w:r w:rsidR="00BA0AFF" w:rsidRPr="00A16469">
        <w:t xml:space="preserve">, den </w:t>
      </w:r>
      <w:r w:rsidR="00FD3E2A" w:rsidRPr="00A16469">
        <w:t>9. Juli 2021</w:t>
      </w:r>
    </w:p>
    <w:p w14:paraId="02CC09E8" w14:textId="77777777" w:rsidR="00BA0AFF" w:rsidRPr="00BA0AFF" w:rsidRDefault="00BA0AFF" w:rsidP="00BA0AFF">
      <w:pPr>
        <w:spacing w:after="0"/>
        <w:jc w:val="center"/>
      </w:pPr>
      <w:r w:rsidRPr="00BA0AFF">
        <w:t>Landesdirektion Sachsen</w:t>
      </w:r>
    </w:p>
    <w:p w14:paraId="68A4C8BE" w14:textId="77777777" w:rsidR="00BA0AFF" w:rsidRPr="00BA0AFF" w:rsidRDefault="007008D2" w:rsidP="00BA0AFF">
      <w:pPr>
        <w:spacing w:after="0"/>
        <w:jc w:val="center"/>
      </w:pPr>
      <w:r w:rsidRPr="007008D2">
        <w:t>Keune</w:t>
      </w:r>
    </w:p>
    <w:p w14:paraId="14B61B76" w14:textId="77777777" w:rsidR="00BA0AFF" w:rsidRPr="00BA0AFF" w:rsidRDefault="007008D2" w:rsidP="00BA0AFF">
      <w:pPr>
        <w:jc w:val="center"/>
      </w:pPr>
      <w:r>
        <w:t>Referatsleiter Planfeststellung</w:t>
      </w:r>
    </w:p>
    <w:p w14:paraId="294840B4" w14:textId="77777777" w:rsidR="00BA0AFF" w:rsidRDefault="00BA0AFF"/>
    <w:sectPr w:rsidR="00BA0A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FF"/>
    <w:rsid w:val="003753B2"/>
    <w:rsid w:val="007008D2"/>
    <w:rsid w:val="00791289"/>
    <w:rsid w:val="009534C8"/>
    <w:rsid w:val="00A16469"/>
    <w:rsid w:val="00A9025E"/>
    <w:rsid w:val="00BA0AFF"/>
    <w:rsid w:val="00FD3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40F9"/>
  <w15:chartTrackingRefBased/>
  <w15:docId w15:val="{687CCBEF-A16B-4B42-B0F7-2844121F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AFF"/>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BA0AFF"/>
    <w:rPr>
      <w:sz w:val="16"/>
      <w:szCs w:val="16"/>
    </w:rPr>
  </w:style>
  <w:style w:type="paragraph" w:styleId="Kommentartext">
    <w:name w:val="annotation text"/>
    <w:basedOn w:val="Standard"/>
    <w:link w:val="KommentartextZchn"/>
    <w:rsid w:val="00BA0AFF"/>
    <w:rPr>
      <w:sz w:val="20"/>
      <w:szCs w:val="20"/>
    </w:rPr>
  </w:style>
  <w:style w:type="character" w:customStyle="1" w:styleId="KommentartextZchn">
    <w:name w:val="Kommentartext Zchn"/>
    <w:basedOn w:val="Absatz-Standardschriftart"/>
    <w:link w:val="Kommentartext"/>
    <w:rsid w:val="00BA0AFF"/>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BA0AFF"/>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0AFF"/>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7008D2"/>
    <w:rPr>
      <w:b/>
      <w:bCs/>
    </w:rPr>
  </w:style>
  <w:style w:type="character" w:customStyle="1" w:styleId="KommentarthemaZchn">
    <w:name w:val="Kommentarthema Zchn"/>
    <w:basedOn w:val="KommentartextZchn"/>
    <w:link w:val="Kommentarthema"/>
    <w:uiPriority w:val="99"/>
    <w:semiHidden/>
    <w:rsid w:val="007008D2"/>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Storch, Sabine - LDS</cp:lastModifiedBy>
  <cp:revision>2</cp:revision>
  <dcterms:created xsi:type="dcterms:W3CDTF">2021-07-16T08:11:00Z</dcterms:created>
  <dcterms:modified xsi:type="dcterms:W3CDTF">2021-07-16T08:11:00Z</dcterms:modified>
</cp:coreProperties>
</file>