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E60F" w14:textId="77777777" w:rsidR="00B4622A" w:rsidRPr="0094474C" w:rsidRDefault="00B4622A" w:rsidP="00B4622A">
      <w:pPr>
        <w:spacing w:after="0"/>
        <w:jc w:val="center"/>
        <w:rPr>
          <w:b/>
        </w:rPr>
      </w:pPr>
      <w:r>
        <w:rPr>
          <w:b/>
        </w:rPr>
        <w:t>Bekanntgabe</w:t>
      </w:r>
    </w:p>
    <w:p w14:paraId="2A24BDC5" w14:textId="77777777" w:rsidR="00B4622A" w:rsidRDefault="00B4622A" w:rsidP="00B4622A">
      <w:pPr>
        <w:spacing w:after="0"/>
        <w:jc w:val="center"/>
        <w:rPr>
          <w:b/>
        </w:rPr>
      </w:pPr>
      <w:r w:rsidRPr="00981D00">
        <w:rPr>
          <w:b/>
        </w:rPr>
        <w:t>der</w:t>
      </w:r>
      <w:r>
        <w:rPr>
          <w:b/>
        </w:rPr>
        <w:t xml:space="preserve"> Landesdirektion </w:t>
      </w:r>
      <w:r w:rsidRPr="00981D00">
        <w:rPr>
          <w:b/>
        </w:rPr>
        <w:t>Sachsen</w:t>
      </w:r>
    </w:p>
    <w:p w14:paraId="5E90ECC1" w14:textId="77777777" w:rsidR="00B4622A" w:rsidRDefault="00B4622A" w:rsidP="00B4622A">
      <w:pPr>
        <w:spacing w:after="0"/>
        <w:jc w:val="center"/>
        <w:rPr>
          <w:b/>
        </w:rPr>
      </w:pPr>
      <w:r>
        <w:rPr>
          <w:b/>
        </w:rPr>
        <w:t xml:space="preserve">nach </w:t>
      </w:r>
      <w:r w:rsidR="000D724A">
        <w:rPr>
          <w:b/>
        </w:rPr>
        <w:t>§ 5 Abs</w:t>
      </w:r>
      <w:r w:rsidR="002043AC">
        <w:rPr>
          <w:b/>
        </w:rPr>
        <w:t>atz</w:t>
      </w:r>
      <w:r w:rsidR="00422359">
        <w:rPr>
          <w:b/>
        </w:rPr>
        <w:t xml:space="preserve"> 2 </w:t>
      </w:r>
      <w:r w:rsidR="000D724A">
        <w:rPr>
          <w:b/>
        </w:rPr>
        <w:t>des</w:t>
      </w:r>
      <w:r>
        <w:rPr>
          <w:b/>
        </w:rPr>
        <w:t xml:space="preserve"> Gesetz</w:t>
      </w:r>
      <w:r w:rsidR="000D724A">
        <w:rPr>
          <w:b/>
        </w:rPr>
        <w:t>es</w:t>
      </w:r>
      <w:r>
        <w:rPr>
          <w:b/>
        </w:rPr>
        <w:t xml:space="preserve"> über die Umweltverträglichkeitsprüfung</w:t>
      </w:r>
    </w:p>
    <w:p w14:paraId="78D79F2C" w14:textId="1585C987" w:rsidR="00B4622A" w:rsidRPr="00447DBB" w:rsidRDefault="00B4622A" w:rsidP="00B4622A">
      <w:pPr>
        <w:spacing w:after="0"/>
        <w:jc w:val="center"/>
        <w:rPr>
          <w:b/>
        </w:rPr>
      </w:pPr>
      <w:r w:rsidRPr="00981D00">
        <w:rPr>
          <w:b/>
        </w:rPr>
        <w:t>für das Vorhaben</w:t>
      </w:r>
      <w:r w:rsidR="0016126A">
        <w:rPr>
          <w:b/>
        </w:rPr>
        <w:t xml:space="preserve"> </w:t>
      </w:r>
      <w:r w:rsidR="00DC325E" w:rsidRPr="00DC325E">
        <w:rPr>
          <w:b/>
        </w:rPr>
        <w:t>110kV-Leitung Nöthnitz – Räcknitz: Viersystemiger Ausbau Ersatzneubau Mast 11 bis 18</w:t>
      </w:r>
      <w:r w:rsidR="00581368">
        <w:rPr>
          <w:b/>
        </w:rPr>
        <w:t xml:space="preserve"> (Anlage 141)</w:t>
      </w:r>
      <w:r w:rsidR="00DC325E" w:rsidRPr="00DC325E">
        <w:rPr>
          <w:b/>
        </w:rPr>
        <w:t>, 78b</w:t>
      </w:r>
      <w:r w:rsidR="00581368">
        <w:rPr>
          <w:b/>
        </w:rPr>
        <w:t xml:space="preserve"> (Anlage 140)</w:t>
      </w:r>
    </w:p>
    <w:p w14:paraId="03024CE1" w14:textId="684E7CF2" w:rsidR="00B4622A" w:rsidRPr="00447DBB" w:rsidRDefault="00B4622A" w:rsidP="00B4622A">
      <w:pPr>
        <w:jc w:val="center"/>
        <w:rPr>
          <w:b/>
        </w:rPr>
      </w:pPr>
      <w:r w:rsidRPr="00447DBB">
        <w:rPr>
          <w:b/>
        </w:rPr>
        <w:t>Gz</w:t>
      </w:r>
      <w:r w:rsidR="00D1544D">
        <w:rPr>
          <w:b/>
        </w:rPr>
        <w:t>.: 32-0522/1541</w:t>
      </w:r>
    </w:p>
    <w:p w14:paraId="0A4C0AD0" w14:textId="4D9890FB" w:rsidR="00B4622A" w:rsidRDefault="00B4622A" w:rsidP="00387528">
      <w:pPr>
        <w:jc w:val="center"/>
        <w:rPr>
          <w:b/>
          <w:color w:val="0070C0"/>
        </w:rPr>
      </w:pPr>
      <w:r w:rsidRPr="00981D00">
        <w:rPr>
          <w:b/>
        </w:rPr>
        <w:t xml:space="preserve">Vom </w:t>
      </w:r>
      <w:r w:rsidR="00F009B1">
        <w:rPr>
          <w:b/>
        </w:rPr>
        <w:t>18.10.2023</w:t>
      </w:r>
    </w:p>
    <w:p w14:paraId="17D7298A" w14:textId="77777777" w:rsidR="003F084B" w:rsidRPr="003F084B" w:rsidRDefault="003F084B" w:rsidP="003F084B">
      <w:pPr>
        <w:spacing w:before="240"/>
        <w:ind w:firstLine="567"/>
      </w:pPr>
      <w:r w:rsidRPr="003F084B">
        <w:t>Diese Bekanntgabe erfolgt gemäß § 5 Absatz 2 Sätze 1 bis 3 des Gesetzes über die Umweltverträglichkeitsprüfung in der Fassung der Bekanntmachung vom 18. März 2021 (BGBl. I S. 540), das zuletzt durch Artikel 2 des Gesetzes vom 22. März 2023 (BGBl. 2023 I  Nr. 88) geändert worden ist.</w:t>
      </w:r>
    </w:p>
    <w:p w14:paraId="70BF197F" w14:textId="434713FB" w:rsidR="003F084B" w:rsidRPr="003F084B" w:rsidRDefault="003F084B" w:rsidP="003F084B">
      <w:pPr>
        <w:spacing w:before="240"/>
        <w:ind w:firstLine="567"/>
      </w:pPr>
      <w:r w:rsidRPr="003F084B">
        <w:t xml:space="preserve">Die </w:t>
      </w:r>
      <w:r>
        <w:t>Sa</w:t>
      </w:r>
      <w:r w:rsidRPr="003F084B">
        <w:t xml:space="preserve">chsenEnergie AG, vertreten durch die SachsenEnergieBau GmbH hat bei der Landesdirektion Sachsen mit Schreiben vom </w:t>
      </w:r>
      <w:r w:rsidR="00DC325E">
        <w:t>07</w:t>
      </w:r>
      <w:r>
        <w:t xml:space="preserve">. </w:t>
      </w:r>
      <w:r w:rsidR="00DC325E">
        <w:t>Juli</w:t>
      </w:r>
      <w:r w:rsidRPr="003F084B">
        <w:t xml:space="preserve"> 2023 die Feststellung beantragt, ob für das Vorhaben eine Verpflichtung zur Durchführung einer Umweltverträglichkeitsprüfung besteht.</w:t>
      </w:r>
    </w:p>
    <w:p w14:paraId="228392EB" w14:textId="2DF45238" w:rsidR="00B4622A" w:rsidRDefault="00B4622A" w:rsidP="00387528">
      <w:pPr>
        <w:spacing w:before="240"/>
        <w:ind w:firstLine="567"/>
      </w:pPr>
      <w:r>
        <w:t xml:space="preserve">Das </w:t>
      </w:r>
      <w:r w:rsidR="00DC325E" w:rsidRPr="00DC325E">
        <w:t xml:space="preserve">Vorhaben </w:t>
      </w:r>
      <w:r w:rsidR="00DC325E">
        <w:t>„</w:t>
      </w:r>
      <w:r w:rsidR="00DC325E" w:rsidRPr="00DC325E">
        <w:t>110kV-Leitung Nöthnitz – Räcknitz: Viersystemiger Ausbau Ersatzneubau Mast 11 bis 18</w:t>
      </w:r>
      <w:r w:rsidR="00581368">
        <w:t xml:space="preserve"> (Anlage 141)</w:t>
      </w:r>
      <w:r w:rsidR="00DC325E" w:rsidRPr="00DC325E">
        <w:t xml:space="preserve"> 78b</w:t>
      </w:r>
      <w:r w:rsidR="00581368">
        <w:t xml:space="preserve"> (Anlage 140)</w:t>
      </w:r>
      <w:r w:rsidR="00DC325E">
        <w:t xml:space="preserve">“ </w:t>
      </w:r>
      <w:r>
        <w:t>fällt in den Anwendungsbereich des Gesetzes über die Umwelt</w:t>
      </w:r>
      <w:r w:rsidR="00751A65">
        <w:t>verträglichkeitsprüfung. Dementsprechend</w:t>
      </w:r>
      <w:r>
        <w:t xml:space="preserve"> </w:t>
      </w:r>
      <w:r w:rsidR="006B2A51">
        <w:t>hat</w:t>
      </w:r>
      <w:r w:rsidRPr="00DD59B6">
        <w:t xml:space="preserve"> die Landesdirektion </w:t>
      </w:r>
      <w:r>
        <w:t>Sachsen</w:t>
      </w:r>
      <w:r w:rsidRPr="00DD59B6">
        <w:t xml:space="preserve"> eine </w:t>
      </w:r>
      <w:r w:rsidR="00DC325E">
        <w:t>standortbezogene</w:t>
      </w:r>
      <w:r w:rsidRPr="00631A8C">
        <w:t xml:space="preserve"> </w:t>
      </w:r>
      <w:r w:rsidRPr="00AF3B12">
        <w:t>V</w:t>
      </w:r>
      <w:r>
        <w:t>orprüfung des Einzelfalls</w:t>
      </w:r>
      <w:r w:rsidRPr="00DD59B6">
        <w:t xml:space="preserve"> </w:t>
      </w:r>
      <w:r w:rsidR="006B2A51">
        <w:t>vorgenommen</w:t>
      </w:r>
      <w:r w:rsidRPr="00DD59B6">
        <w:t>.</w:t>
      </w:r>
    </w:p>
    <w:p w14:paraId="207D293E" w14:textId="131AFDA6" w:rsidR="00EF56CD" w:rsidRPr="00EF56CD" w:rsidRDefault="00EF56CD" w:rsidP="00754EAD">
      <w:pPr>
        <w:spacing w:before="240"/>
        <w:ind w:firstLine="567"/>
      </w:pPr>
      <w:r>
        <w:t>Der Vorhabenträger</w:t>
      </w:r>
      <w:r w:rsidRPr="00EF56CD">
        <w:t xml:space="preserve"> plant zur Erhöhung der Versorgungssicherheit den </w:t>
      </w:r>
      <w:r w:rsidR="00581368">
        <w:t>Ausbau</w:t>
      </w:r>
      <w:r w:rsidRPr="00EF56CD">
        <w:t xml:space="preserve"> der Anlage </w:t>
      </w:r>
      <w:r w:rsidR="0016126A">
        <w:t>141</w:t>
      </w:r>
      <w:r w:rsidRPr="00EF56CD">
        <w:t xml:space="preserve"> der 110 kV-Leitung </w:t>
      </w:r>
      <w:r w:rsidR="00B619E5">
        <w:t>Nöthnitz - Räcknitz</w:t>
      </w:r>
      <w:r w:rsidRPr="00EF56CD">
        <w:t xml:space="preserve"> (Mast </w:t>
      </w:r>
      <w:r w:rsidR="00B619E5">
        <w:t>1</w:t>
      </w:r>
      <w:r w:rsidRPr="00EF56CD">
        <w:t xml:space="preserve">1 bis Mast </w:t>
      </w:r>
      <w:r w:rsidR="00B619E5">
        <w:t>18 und Mast 78b</w:t>
      </w:r>
      <w:r w:rsidR="00581368">
        <w:t xml:space="preserve"> </w:t>
      </w:r>
      <w:r w:rsidR="00754EAD">
        <w:t>der</w:t>
      </w:r>
      <w:r w:rsidR="00581368">
        <w:t xml:space="preserve"> Anlage 140</w:t>
      </w:r>
      <w:r w:rsidR="00754EAD">
        <w:t>)</w:t>
      </w:r>
      <w:r w:rsidR="00B619E5">
        <w:t xml:space="preserve"> </w:t>
      </w:r>
      <w:r w:rsidR="00581368">
        <w:t>auf einer Gesamtlänge von 1,9</w:t>
      </w:r>
      <w:r w:rsidRPr="00EF56CD">
        <w:t xml:space="preserve"> km. D</w:t>
      </w:r>
      <w:r w:rsidR="00754EAD">
        <w:t>azu wird die vorhandene zweisystemige 110kV-Leitung durch eine neue viersystemige 110-kV-Leitung ersetzt. Im Bereich der Anlage 140 wird der Mast 78a standortgleich durch den Masten 78b ersetzt und von da ein neuer Anschluss an Mast 11 der Anlage 141 hergestellt. Zwischen Mast 78b und 79b (Anlage 140) wird die Leitung zurückgebaut.</w:t>
      </w:r>
    </w:p>
    <w:p w14:paraId="7CA3FEB8" w14:textId="7D3383BC" w:rsidR="00EF56CD" w:rsidRPr="00EF56CD" w:rsidRDefault="00744B74" w:rsidP="00EF56CD">
      <w:pPr>
        <w:spacing w:before="240"/>
        <w:ind w:firstLine="567"/>
      </w:pPr>
      <w:r>
        <w:t xml:space="preserve">Das Vorhaben befindet sich am südlichen Stadtrand Dresdens und teilweise im Gebiet der Gemeinde Bannewitz im Landkreis Sächsische Schweiz-Osterzgebirge. </w:t>
      </w:r>
      <w:r w:rsidR="00EF56CD" w:rsidRPr="00EF56CD">
        <w:t>Der gesamte Vorhabenb</w:t>
      </w:r>
      <w:r>
        <w:t>e</w:t>
      </w:r>
      <w:r w:rsidR="00EF56CD" w:rsidRPr="00EF56CD">
        <w:t xml:space="preserve">reich liegt </w:t>
      </w:r>
      <w:r w:rsidR="00754EAD">
        <w:t>teilweise auf landwirtschaftlichen Nutzflächen sowie in Siedlungsflächen.</w:t>
      </w:r>
      <w:r>
        <w:t xml:space="preserve"> In unmittelbarer Nähe des Vorhabens befinden sich einige </w:t>
      </w:r>
      <w:r w:rsidR="000972D1">
        <w:t xml:space="preserve">archäologische Bodendenkmale. Mast 79b der Anlage steht direkt im Bereich des Bodendenkmals D-37080-02. </w:t>
      </w:r>
      <w:r w:rsidR="00754EAD">
        <w:t xml:space="preserve">Zudem </w:t>
      </w:r>
      <w:r w:rsidR="00354D6E">
        <w:t xml:space="preserve">überspannt ein Teil des Vorhabens den </w:t>
      </w:r>
      <w:r w:rsidR="000972D1">
        <w:t>Kaitzbach und dessen Überschwemmungsgebiet.</w:t>
      </w:r>
      <w:r w:rsidR="00C41763">
        <w:t xml:space="preserve"> </w:t>
      </w:r>
      <w:r w:rsidR="00086E28">
        <w:t>Weitere Flächen mit Schutzstatus sind nicht unmittelbar von der Trasse bzw. dem Vorhaben getroffen.</w:t>
      </w:r>
    </w:p>
    <w:p w14:paraId="623E7DE4" w14:textId="7C4B92DD" w:rsidR="00EF56CD" w:rsidRDefault="00E721DA" w:rsidP="00EF56CD">
      <w:pPr>
        <w:spacing w:before="240"/>
        <w:ind w:firstLine="567"/>
      </w:pPr>
      <w:r w:rsidRPr="00E721DA">
        <w:t xml:space="preserve">Im Rahmen dieser Vorprüfung wurde </w:t>
      </w:r>
      <w:r>
        <w:t>festgestellt</w:t>
      </w:r>
      <w:r w:rsidR="00B4622A" w:rsidRPr="00DD59B6">
        <w:t>, dass</w:t>
      </w:r>
      <w:r w:rsidR="00B4622A">
        <w:t xml:space="preserve"> k</w:t>
      </w:r>
      <w:r w:rsidR="00B4622A" w:rsidRPr="00DD59B6">
        <w:t xml:space="preserve">eine </w:t>
      </w:r>
      <w:r w:rsidR="006B2A51">
        <w:t>Pflicht</w:t>
      </w:r>
      <w:r w:rsidR="00B4622A" w:rsidRPr="00DD59B6">
        <w:t xml:space="preserve"> zur Durchführung einer Umweltverträglichkeits</w:t>
      </w:r>
      <w:r w:rsidR="00B4622A">
        <w:t xml:space="preserve">prüfung besteht. </w:t>
      </w:r>
      <w:r w:rsidR="006B2A51">
        <w:t>Das</w:t>
      </w:r>
      <w:r w:rsidR="00B4622A" w:rsidRPr="00DD59B6">
        <w:t xml:space="preserve"> Vorhaben</w:t>
      </w:r>
      <w:r w:rsidR="00B4622A">
        <w:t xml:space="preserve"> </w:t>
      </w:r>
      <w:r w:rsidR="006B2A51">
        <w:t xml:space="preserve">hat </w:t>
      </w:r>
      <w:r w:rsidR="00B4622A" w:rsidRPr="00DD59B6">
        <w:t xml:space="preserve">keine erheblichen nachteiligen Umweltauswirkungen </w:t>
      </w:r>
      <w:r w:rsidR="00B4622A">
        <w:t xml:space="preserve">auf die Umweltschutzgüter, die nach dem </w:t>
      </w:r>
      <w:r w:rsidR="007875B1" w:rsidRPr="007875B1">
        <w:t xml:space="preserve">Gesetz über die Umweltverträglichkeitsprüfung </w:t>
      </w:r>
      <w:r w:rsidR="00F60159">
        <w:t xml:space="preserve">bei der Zulassungsentscheidung </w:t>
      </w:r>
      <w:r w:rsidR="00B4622A">
        <w:t>zu berücksichtigen</w:t>
      </w:r>
      <w:r w:rsidR="00F60159">
        <w:t xml:space="preserve"> wären</w:t>
      </w:r>
      <w:r w:rsidR="00B4622A">
        <w:t>.</w:t>
      </w:r>
      <w:r w:rsidR="006B2A51">
        <w:t xml:space="preserve"> </w:t>
      </w:r>
      <w:r w:rsidR="00326CA9">
        <w:t>Für diese Einschätzung</w:t>
      </w:r>
      <w:r w:rsidR="006B2A51">
        <w:t xml:space="preserve"> </w:t>
      </w:r>
      <w:r w:rsidR="00326CA9" w:rsidRPr="00EF56CD">
        <w:t>sind folgende</w:t>
      </w:r>
      <w:r w:rsidR="00B4622A" w:rsidRPr="00EF56CD">
        <w:t xml:space="preserve"> wesentliche Gründe </w:t>
      </w:r>
      <w:r w:rsidR="00326CA9" w:rsidRPr="00326CA9">
        <w:t>maßgebend</w:t>
      </w:r>
      <w:r w:rsidR="00EF56CD">
        <w:t>:</w:t>
      </w:r>
    </w:p>
    <w:p w14:paraId="4C983952" w14:textId="77777777" w:rsidR="00EF56CD" w:rsidRPr="008E678A" w:rsidRDefault="00EF56CD" w:rsidP="00EF56CD">
      <w:pPr>
        <w:pStyle w:val="Listenabsatz"/>
        <w:numPr>
          <w:ilvl w:val="0"/>
          <w:numId w:val="21"/>
        </w:numPr>
        <w:tabs>
          <w:tab w:val="left" w:pos="284"/>
        </w:tabs>
        <w:spacing w:before="240"/>
      </w:pPr>
      <w:r w:rsidRPr="008E678A">
        <w:t>die punktuelle und unerhebliche Größe und Ausgestaltung der Maßnahme,</w:t>
      </w:r>
    </w:p>
    <w:p w14:paraId="06DBCF1E" w14:textId="1517F53A" w:rsidR="00EF56CD" w:rsidRPr="008E678A" w:rsidRDefault="00EF56CD" w:rsidP="00EF56CD">
      <w:pPr>
        <w:pStyle w:val="Listenabsatz"/>
        <w:numPr>
          <w:ilvl w:val="0"/>
          <w:numId w:val="21"/>
        </w:numPr>
        <w:tabs>
          <w:tab w:val="left" w:pos="284"/>
        </w:tabs>
        <w:spacing w:before="240"/>
      </w:pPr>
      <w:r w:rsidRPr="008E678A">
        <w:t>die Reversibilität und geringe Dauer der baubedingten Auswirkungen,</w:t>
      </w:r>
    </w:p>
    <w:p w14:paraId="39A55A96" w14:textId="1F4AEE3E" w:rsidR="00EF56CD" w:rsidRPr="008E678A" w:rsidRDefault="00EF56CD" w:rsidP="00EF56CD">
      <w:pPr>
        <w:pStyle w:val="Listenabsatz"/>
        <w:numPr>
          <w:ilvl w:val="0"/>
          <w:numId w:val="21"/>
        </w:numPr>
        <w:tabs>
          <w:tab w:val="left" w:pos="284"/>
        </w:tabs>
        <w:spacing w:before="240"/>
      </w:pPr>
      <w:r w:rsidRPr="008E678A">
        <w:t>die unerhebliche Nutzung natürlicher Ressourcen, insbesondere Fläche, Boden, Wasser, Tiere, Pflanzen und biologische Vielfalt,</w:t>
      </w:r>
    </w:p>
    <w:p w14:paraId="7A4E1381" w14:textId="3D93A7EC" w:rsidR="00EF56CD" w:rsidRDefault="00EF56CD" w:rsidP="00EF56CD">
      <w:pPr>
        <w:pStyle w:val="Listenabsatz"/>
        <w:numPr>
          <w:ilvl w:val="0"/>
          <w:numId w:val="21"/>
        </w:numPr>
        <w:tabs>
          <w:tab w:val="left" w:pos="284"/>
        </w:tabs>
        <w:spacing w:before="240"/>
      </w:pPr>
      <w:r w:rsidRPr="008E678A">
        <w:t>die unerheblichen Risiken</w:t>
      </w:r>
      <w:r>
        <w:t xml:space="preserve"> für die menschliche Gesundheit.</w:t>
      </w:r>
    </w:p>
    <w:p w14:paraId="649DE887" w14:textId="706B977B" w:rsidR="00EF56CD" w:rsidRDefault="00EF56CD" w:rsidP="00EF56CD">
      <w:pPr>
        <w:tabs>
          <w:tab w:val="left" w:pos="284"/>
        </w:tabs>
        <w:spacing w:before="240"/>
      </w:pPr>
      <w:r w:rsidRPr="00EF56CD">
        <w:t>Darüber hinaus sind</w:t>
      </w:r>
      <w:r w:rsidR="00447DBB">
        <w:t xml:space="preserve"> insbesondere die</w:t>
      </w:r>
      <w:r w:rsidRPr="00EF56CD">
        <w:t xml:space="preserve"> folgende</w:t>
      </w:r>
      <w:r w:rsidR="00447DBB">
        <w:t>n</w:t>
      </w:r>
      <w:r w:rsidRPr="00EF56CD">
        <w:t xml:space="preserve"> Vorkehrungen für diese Einschätzung maßgebend:</w:t>
      </w:r>
    </w:p>
    <w:p w14:paraId="6F14E352" w14:textId="3D0286D7" w:rsidR="00EF56CD" w:rsidRDefault="00447DBB" w:rsidP="00EF56CD">
      <w:pPr>
        <w:pStyle w:val="Listenabsatz"/>
        <w:numPr>
          <w:ilvl w:val="0"/>
          <w:numId w:val="22"/>
        </w:numPr>
        <w:tabs>
          <w:tab w:val="left" w:pos="284"/>
        </w:tabs>
        <w:spacing w:before="240"/>
      </w:pPr>
      <w:r>
        <w:t>Ökologische Baubetreuung</w:t>
      </w:r>
    </w:p>
    <w:p w14:paraId="24FBBB27" w14:textId="2CD37BF9" w:rsidR="00447DBB" w:rsidRDefault="00447DBB" w:rsidP="00EF56CD">
      <w:pPr>
        <w:pStyle w:val="Listenabsatz"/>
        <w:numPr>
          <w:ilvl w:val="0"/>
          <w:numId w:val="22"/>
        </w:numPr>
        <w:tabs>
          <w:tab w:val="left" w:pos="284"/>
        </w:tabs>
        <w:spacing w:before="240"/>
      </w:pPr>
      <w:r>
        <w:t>Bauzeitenregelung</w:t>
      </w:r>
    </w:p>
    <w:p w14:paraId="4847C24B" w14:textId="69E63F6B" w:rsidR="00447DBB" w:rsidRDefault="00447DBB" w:rsidP="00EF56CD">
      <w:pPr>
        <w:pStyle w:val="Listenabsatz"/>
        <w:numPr>
          <w:ilvl w:val="0"/>
          <w:numId w:val="22"/>
        </w:numPr>
        <w:tabs>
          <w:tab w:val="left" w:pos="284"/>
        </w:tabs>
        <w:spacing w:before="240"/>
      </w:pPr>
      <w:r>
        <w:lastRenderedPageBreak/>
        <w:t>Minimierung der Baufelder</w:t>
      </w:r>
    </w:p>
    <w:p w14:paraId="411BCBEE" w14:textId="6E9D1B2F" w:rsidR="00447DBB" w:rsidRDefault="00447DBB" w:rsidP="00EF56CD">
      <w:pPr>
        <w:pStyle w:val="Listenabsatz"/>
        <w:numPr>
          <w:ilvl w:val="0"/>
          <w:numId w:val="22"/>
        </w:numPr>
        <w:tabs>
          <w:tab w:val="left" w:pos="284"/>
        </w:tabs>
        <w:spacing w:before="240"/>
      </w:pPr>
      <w:r>
        <w:t>Festlegung von Tabuzonen</w:t>
      </w:r>
    </w:p>
    <w:p w14:paraId="1C28BAE2" w14:textId="1CAA5CAE" w:rsidR="00447DBB" w:rsidRDefault="00447DBB" w:rsidP="00EF56CD">
      <w:pPr>
        <w:pStyle w:val="Listenabsatz"/>
        <w:numPr>
          <w:ilvl w:val="0"/>
          <w:numId w:val="22"/>
        </w:numPr>
        <w:tabs>
          <w:tab w:val="left" w:pos="284"/>
        </w:tabs>
        <w:spacing w:before="240"/>
      </w:pPr>
      <w:r>
        <w:t>Baumschutz</w:t>
      </w:r>
    </w:p>
    <w:p w14:paraId="4EB23E26" w14:textId="251A4C58" w:rsidR="00447DBB" w:rsidRDefault="00447DBB" w:rsidP="00EF56CD">
      <w:pPr>
        <w:pStyle w:val="Listenabsatz"/>
        <w:numPr>
          <w:ilvl w:val="0"/>
          <w:numId w:val="22"/>
        </w:numPr>
        <w:tabs>
          <w:tab w:val="left" w:pos="284"/>
        </w:tabs>
        <w:spacing w:before="240"/>
      </w:pPr>
      <w:r>
        <w:t>Bodenschutz z. B. durch Baggermatten</w:t>
      </w:r>
    </w:p>
    <w:p w14:paraId="7CEF947F" w14:textId="6A9F4889" w:rsidR="00447DBB" w:rsidRDefault="00447DBB" w:rsidP="00EF56CD">
      <w:pPr>
        <w:pStyle w:val="Listenabsatz"/>
        <w:numPr>
          <w:ilvl w:val="0"/>
          <w:numId w:val="22"/>
        </w:numPr>
        <w:tabs>
          <w:tab w:val="left" w:pos="284"/>
        </w:tabs>
        <w:spacing w:before="240"/>
      </w:pPr>
      <w:r>
        <w:t>Kontrolle der Maste und Bäume auf Nester und Höhlenbrüter</w:t>
      </w:r>
    </w:p>
    <w:p w14:paraId="7BAE9D89" w14:textId="1737376D" w:rsidR="00447DBB" w:rsidRDefault="00447DBB" w:rsidP="00EF56CD">
      <w:pPr>
        <w:pStyle w:val="Listenabsatz"/>
        <w:numPr>
          <w:ilvl w:val="0"/>
          <w:numId w:val="22"/>
        </w:numPr>
        <w:tabs>
          <w:tab w:val="left" w:pos="284"/>
        </w:tabs>
        <w:spacing w:before="240"/>
      </w:pPr>
      <w:r>
        <w:t>Ersatzquartiere</w:t>
      </w:r>
    </w:p>
    <w:p w14:paraId="30813213" w14:textId="00EC2162" w:rsidR="00EF56CD" w:rsidRDefault="00EF56CD" w:rsidP="00447DBB">
      <w:pPr>
        <w:tabs>
          <w:tab w:val="left" w:pos="284"/>
        </w:tabs>
        <w:spacing w:before="240"/>
        <w:ind w:left="567" w:hanging="567"/>
      </w:pPr>
      <w:r w:rsidRPr="00EF56CD">
        <w:t>Diese Feststellung ist nicht selbstständig anfechtbar.</w:t>
      </w:r>
    </w:p>
    <w:p w14:paraId="15981A72" w14:textId="77777777" w:rsidR="00447DBB" w:rsidRPr="00447DBB" w:rsidRDefault="00447DBB" w:rsidP="00447DBB">
      <w:pPr>
        <w:spacing w:before="240"/>
        <w:ind w:firstLine="567"/>
      </w:pPr>
      <w:r w:rsidRPr="00447DBB">
        <w:t xml:space="preserve">Die entscheidungsrelevanten Unterlagen sind der Öffentlichkeit in der Landesdirektion Sachsen, Referat 32, </w:t>
      </w:r>
      <w:r w:rsidRPr="00447DBB">
        <w:rPr>
          <w:rFonts w:cs="Arial"/>
          <w:szCs w:val="22"/>
        </w:rPr>
        <w:t xml:space="preserve">Stauffenbergallee 2, 01099 Dresden </w:t>
      </w:r>
      <w:r w:rsidRPr="00447DBB">
        <w:t>zugänglich.</w:t>
      </w:r>
    </w:p>
    <w:p w14:paraId="055D995E" w14:textId="4E6C459C" w:rsidR="00447DBB" w:rsidRDefault="00447DBB" w:rsidP="00447DBB">
      <w:pPr>
        <w:autoSpaceDE w:val="0"/>
        <w:autoSpaceDN w:val="0"/>
        <w:adjustRightInd w:val="0"/>
        <w:rPr>
          <w:color w:val="0070C0"/>
        </w:rPr>
      </w:pPr>
      <w:bookmarkStart w:id="0" w:name="_GoBack"/>
      <w:bookmarkEnd w:id="0"/>
      <w:r w:rsidRPr="00447DBB">
        <w:t>Dresden</w:t>
      </w:r>
      <w:r w:rsidRPr="00447DBB">
        <w:rPr>
          <w:color w:val="0070C0"/>
        </w:rPr>
        <w:t xml:space="preserve">, </w:t>
      </w:r>
      <w:r w:rsidRPr="00447DBB">
        <w:t xml:space="preserve">den </w:t>
      </w:r>
      <w:r w:rsidR="00F009B1" w:rsidRPr="009158C1">
        <w:t>18</w:t>
      </w:r>
      <w:r w:rsidR="00276D37" w:rsidRPr="009158C1">
        <w:t>.10.2023</w:t>
      </w:r>
    </w:p>
    <w:p w14:paraId="21DC9B5F" w14:textId="2741602F" w:rsidR="00784082" w:rsidRDefault="00784082" w:rsidP="00447DBB">
      <w:pPr>
        <w:autoSpaceDE w:val="0"/>
        <w:autoSpaceDN w:val="0"/>
        <w:adjustRightInd w:val="0"/>
        <w:rPr>
          <w:color w:val="0070C0"/>
        </w:rPr>
      </w:pPr>
    </w:p>
    <w:p w14:paraId="1213A84B" w14:textId="172C0816" w:rsidR="00784082" w:rsidRDefault="00784082" w:rsidP="00447DBB">
      <w:pPr>
        <w:autoSpaceDE w:val="0"/>
        <w:autoSpaceDN w:val="0"/>
        <w:adjustRightInd w:val="0"/>
        <w:rPr>
          <w:color w:val="0070C0"/>
        </w:rPr>
      </w:pPr>
    </w:p>
    <w:p w14:paraId="0F3EE85F" w14:textId="77777777" w:rsidR="00784082" w:rsidRPr="00447DBB" w:rsidRDefault="00784082" w:rsidP="00447DBB">
      <w:pPr>
        <w:autoSpaceDE w:val="0"/>
        <w:autoSpaceDN w:val="0"/>
        <w:adjustRightInd w:val="0"/>
      </w:pPr>
    </w:p>
    <w:p w14:paraId="72D15F12" w14:textId="77777777" w:rsidR="00447DBB" w:rsidRPr="00447DBB" w:rsidRDefault="00447DBB" w:rsidP="00447DBB">
      <w:pPr>
        <w:spacing w:after="0"/>
        <w:jc w:val="center"/>
      </w:pPr>
      <w:r w:rsidRPr="00447DBB">
        <w:t>Landesdirektion Sachsen</w:t>
      </w:r>
    </w:p>
    <w:p w14:paraId="65393105" w14:textId="77777777" w:rsidR="00447DBB" w:rsidRPr="00447DBB" w:rsidRDefault="00447DBB" w:rsidP="00447DBB">
      <w:pPr>
        <w:spacing w:after="0"/>
        <w:jc w:val="center"/>
      </w:pPr>
      <w:r w:rsidRPr="00447DBB">
        <w:t>Keune</w:t>
      </w:r>
    </w:p>
    <w:p w14:paraId="5E1A73D7" w14:textId="77777777" w:rsidR="00447DBB" w:rsidRPr="00447DBB" w:rsidRDefault="00447DBB" w:rsidP="00447DBB">
      <w:pPr>
        <w:jc w:val="center"/>
      </w:pPr>
      <w:r w:rsidRPr="00447DBB">
        <w:t>Referatsleiter Planfeststellung</w:t>
      </w:r>
    </w:p>
    <w:sectPr w:rsidR="00447DBB" w:rsidRPr="00447DBB"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6185" w14:textId="77777777" w:rsidR="006C1C25" w:rsidRDefault="006C1C25" w:rsidP="007F5705">
      <w:pPr>
        <w:spacing w:after="0"/>
      </w:pPr>
      <w:r>
        <w:separator/>
      </w:r>
    </w:p>
  </w:endnote>
  <w:endnote w:type="continuationSeparator" w:id="0">
    <w:p w14:paraId="5D783560" w14:textId="77777777" w:rsidR="006C1C25" w:rsidRDefault="006C1C25"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B8FB" w14:textId="77777777" w:rsidR="006C1C25" w:rsidRDefault="006C1C25" w:rsidP="007F5705">
      <w:pPr>
        <w:spacing w:after="0"/>
      </w:pPr>
      <w:r>
        <w:separator/>
      </w:r>
    </w:p>
  </w:footnote>
  <w:footnote w:type="continuationSeparator" w:id="0">
    <w:p w14:paraId="10BAF59B" w14:textId="77777777" w:rsidR="006C1C25" w:rsidRDefault="006C1C25" w:rsidP="007F5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132F3"/>
    <w:multiLevelType w:val="hybridMultilevel"/>
    <w:tmpl w:val="938CF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6B263D5"/>
    <w:multiLevelType w:val="hybridMultilevel"/>
    <w:tmpl w:val="F98AC31C"/>
    <w:lvl w:ilvl="0" w:tplc="04070001">
      <w:start w:val="1"/>
      <w:numFmt w:val="bullet"/>
      <w:lvlText w:val=""/>
      <w:lvlJc w:val="left"/>
      <w:pPr>
        <w:ind w:left="720" w:hanging="360"/>
      </w:pPr>
      <w:rPr>
        <w:rFonts w:ascii="Symbol" w:hAnsi="Symbol" w:hint="default"/>
      </w:rPr>
    </w:lvl>
    <w:lvl w:ilvl="1" w:tplc="84FE68E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4E1A58"/>
    <w:multiLevelType w:val="hybridMultilevel"/>
    <w:tmpl w:val="AE5A486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47665905"/>
    <w:multiLevelType w:val="hybridMultilevel"/>
    <w:tmpl w:val="D68070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7"/>
  </w:num>
  <w:num w:numId="14">
    <w:abstractNumId w:val="11"/>
  </w:num>
  <w:num w:numId="15">
    <w:abstractNumId w:val="16"/>
  </w:num>
  <w:num w:numId="16">
    <w:abstractNumId w:val="21"/>
  </w:num>
  <w:num w:numId="17">
    <w:abstractNumId w:val="18"/>
  </w:num>
  <w:num w:numId="18">
    <w:abstractNumId w:val="13"/>
  </w:num>
  <w:num w:numId="19">
    <w:abstractNumId w:val="20"/>
  </w:num>
  <w:num w:numId="20">
    <w:abstractNumId w:val="12"/>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36"/>
    <w:rsid w:val="00072205"/>
    <w:rsid w:val="00086E28"/>
    <w:rsid w:val="000972D1"/>
    <w:rsid w:val="000B255B"/>
    <w:rsid w:val="000D724A"/>
    <w:rsid w:val="000E5DD3"/>
    <w:rsid w:val="0010485A"/>
    <w:rsid w:val="00121348"/>
    <w:rsid w:val="0016126A"/>
    <w:rsid w:val="001B634D"/>
    <w:rsid w:val="002043AC"/>
    <w:rsid w:val="00213225"/>
    <w:rsid w:val="0022759B"/>
    <w:rsid w:val="00243788"/>
    <w:rsid w:val="00276D37"/>
    <w:rsid w:val="002C1839"/>
    <w:rsid w:val="002F569A"/>
    <w:rsid w:val="00317C54"/>
    <w:rsid w:val="00326CA9"/>
    <w:rsid w:val="00354D6E"/>
    <w:rsid w:val="00387528"/>
    <w:rsid w:val="00396D90"/>
    <w:rsid w:val="003F084B"/>
    <w:rsid w:val="00422359"/>
    <w:rsid w:val="004365E1"/>
    <w:rsid w:val="00447DBB"/>
    <w:rsid w:val="00482C21"/>
    <w:rsid w:val="00487C2E"/>
    <w:rsid w:val="00490AF8"/>
    <w:rsid w:val="004A2E77"/>
    <w:rsid w:val="00543DB1"/>
    <w:rsid w:val="00581368"/>
    <w:rsid w:val="00646636"/>
    <w:rsid w:val="006931F4"/>
    <w:rsid w:val="006B2A51"/>
    <w:rsid w:val="006C1C25"/>
    <w:rsid w:val="006F7FBD"/>
    <w:rsid w:val="00703A9B"/>
    <w:rsid w:val="00744B74"/>
    <w:rsid w:val="00751A65"/>
    <w:rsid w:val="00754EAD"/>
    <w:rsid w:val="00784082"/>
    <w:rsid w:val="007875B1"/>
    <w:rsid w:val="007E6F98"/>
    <w:rsid w:val="007F5705"/>
    <w:rsid w:val="008926B9"/>
    <w:rsid w:val="008A393E"/>
    <w:rsid w:val="008B7342"/>
    <w:rsid w:val="008C56DD"/>
    <w:rsid w:val="008D6A2E"/>
    <w:rsid w:val="008E43F7"/>
    <w:rsid w:val="008E7086"/>
    <w:rsid w:val="009158C1"/>
    <w:rsid w:val="00922E7E"/>
    <w:rsid w:val="009A4D95"/>
    <w:rsid w:val="009B4900"/>
    <w:rsid w:val="009B7F43"/>
    <w:rsid w:val="00A012C6"/>
    <w:rsid w:val="00A37483"/>
    <w:rsid w:val="00A71434"/>
    <w:rsid w:val="00A828FC"/>
    <w:rsid w:val="00AA13C0"/>
    <w:rsid w:val="00AA5BC5"/>
    <w:rsid w:val="00AB7F36"/>
    <w:rsid w:val="00AF2A3C"/>
    <w:rsid w:val="00B16137"/>
    <w:rsid w:val="00B4622A"/>
    <w:rsid w:val="00B619E5"/>
    <w:rsid w:val="00B95CDC"/>
    <w:rsid w:val="00BC1297"/>
    <w:rsid w:val="00BC1BE5"/>
    <w:rsid w:val="00BF550A"/>
    <w:rsid w:val="00C41763"/>
    <w:rsid w:val="00C70110"/>
    <w:rsid w:val="00C90A51"/>
    <w:rsid w:val="00C94DD7"/>
    <w:rsid w:val="00CD69F6"/>
    <w:rsid w:val="00CE4B39"/>
    <w:rsid w:val="00CE54F8"/>
    <w:rsid w:val="00D059FB"/>
    <w:rsid w:val="00D1544D"/>
    <w:rsid w:val="00D752E9"/>
    <w:rsid w:val="00D94D4D"/>
    <w:rsid w:val="00DC325E"/>
    <w:rsid w:val="00DE54FC"/>
    <w:rsid w:val="00E24D35"/>
    <w:rsid w:val="00E56BAD"/>
    <w:rsid w:val="00E6085B"/>
    <w:rsid w:val="00E65621"/>
    <w:rsid w:val="00E721DA"/>
    <w:rsid w:val="00EC7FBC"/>
    <w:rsid w:val="00ED7B75"/>
    <w:rsid w:val="00EE4E1E"/>
    <w:rsid w:val="00EF2C0F"/>
    <w:rsid w:val="00EF5630"/>
    <w:rsid w:val="00EF56CD"/>
    <w:rsid w:val="00F009B1"/>
    <w:rsid w:val="00F04A86"/>
    <w:rsid w:val="00F60159"/>
    <w:rsid w:val="00FC4FE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68EF"/>
  <w15:docId w15:val="{BD5DFD7A-E91D-46FC-BCBC-9C99BAC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daten\32%20-%20AG%20Vereinheitlichung\UVP-VP\Muster%20abstrahiert\1.1.4.1%20-%20UVP-VP%20Bekanntgabe%20keine%20UVP-Pflicht_23.01.2018%20R%204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1.1.4.1 - UVP-VP Bekanntgabe keine UVP-Pflicht_23.01.2018 R 46.dotx</Template>
  <TotalTime>0</TotalTime>
  <Pages>2</Pages>
  <Words>467</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claus-peter.susok</dc:creator>
  <cp:lastModifiedBy>Storch, Sabine - LDS</cp:lastModifiedBy>
  <cp:revision>3</cp:revision>
  <dcterms:created xsi:type="dcterms:W3CDTF">2023-10-19T09:54:00Z</dcterms:created>
  <dcterms:modified xsi:type="dcterms:W3CDTF">2023-10-19T09:55:00Z</dcterms:modified>
</cp:coreProperties>
</file>