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CA" w:rsidRPr="00167F8E" w:rsidRDefault="007B20CA" w:rsidP="00167F8E">
      <w:pPr>
        <w:tabs>
          <w:tab w:val="left" w:pos="5104"/>
          <w:tab w:val="left" w:pos="6237"/>
        </w:tabs>
        <w:spacing w:line="360" w:lineRule="auto"/>
        <w:jc w:val="center"/>
        <w:rPr>
          <w:rFonts w:ascii="Arial" w:hAnsi="Arial" w:cs="Arial"/>
          <w:b/>
          <w:color w:val="000000"/>
          <w:sz w:val="24"/>
          <w:szCs w:val="24"/>
        </w:rPr>
      </w:pPr>
      <w:r w:rsidRPr="00167F8E">
        <w:rPr>
          <w:rFonts w:ascii="Arial" w:hAnsi="Arial" w:cs="Arial"/>
          <w:b/>
          <w:color w:val="000000"/>
          <w:sz w:val="24"/>
          <w:szCs w:val="24"/>
        </w:rPr>
        <w:t>Öffentliche Bekanntmachung</w:t>
      </w:r>
    </w:p>
    <w:p w:rsidR="009008FC" w:rsidRPr="00167F8E" w:rsidRDefault="009008FC" w:rsidP="00167F8E">
      <w:pPr>
        <w:tabs>
          <w:tab w:val="left" w:pos="284"/>
          <w:tab w:val="left" w:pos="5104"/>
          <w:tab w:val="left" w:pos="6237"/>
        </w:tabs>
        <w:spacing w:line="360" w:lineRule="auto"/>
        <w:ind w:left="284" w:hanging="284"/>
        <w:jc w:val="center"/>
        <w:rPr>
          <w:rFonts w:ascii="Arial" w:hAnsi="Arial" w:cs="Arial"/>
          <w:b/>
          <w:bCs/>
          <w:sz w:val="24"/>
          <w:szCs w:val="24"/>
        </w:rPr>
      </w:pPr>
      <w:r w:rsidRPr="00167F8E">
        <w:rPr>
          <w:rFonts w:ascii="Arial" w:hAnsi="Arial" w:cs="Arial"/>
          <w:b/>
          <w:bCs/>
          <w:sz w:val="24"/>
          <w:szCs w:val="24"/>
        </w:rPr>
        <w:t>einer Genehmigung zum Umgang mit radioaktiven Stoffen nach</w:t>
      </w:r>
    </w:p>
    <w:p w:rsidR="009008FC" w:rsidRPr="00167F8E" w:rsidRDefault="007A7CC8" w:rsidP="00167F8E">
      <w:pPr>
        <w:tabs>
          <w:tab w:val="left" w:pos="284"/>
          <w:tab w:val="left" w:pos="5104"/>
          <w:tab w:val="left" w:pos="6237"/>
        </w:tabs>
        <w:spacing w:line="360" w:lineRule="auto"/>
        <w:ind w:left="284" w:hanging="284"/>
        <w:jc w:val="center"/>
        <w:rPr>
          <w:rFonts w:ascii="Arial" w:hAnsi="Arial" w:cs="Arial"/>
          <w:b/>
          <w:bCs/>
          <w:sz w:val="24"/>
          <w:szCs w:val="24"/>
        </w:rPr>
      </w:pPr>
      <w:r w:rsidRPr="00167F8E">
        <w:rPr>
          <w:rFonts w:ascii="Arial" w:hAnsi="Arial" w:cs="Arial"/>
          <w:b/>
          <w:bCs/>
          <w:sz w:val="24"/>
          <w:szCs w:val="24"/>
        </w:rPr>
        <w:t>§ 12 Absatz 1 Nr. </w:t>
      </w:r>
      <w:r w:rsidR="009008FC" w:rsidRPr="00167F8E">
        <w:rPr>
          <w:rFonts w:ascii="Arial" w:hAnsi="Arial" w:cs="Arial"/>
          <w:b/>
          <w:bCs/>
          <w:sz w:val="24"/>
          <w:szCs w:val="24"/>
        </w:rPr>
        <w:t>3 Strahlenschutzgesetz (StrlSchG) sowie</w:t>
      </w:r>
    </w:p>
    <w:p w:rsidR="009008FC" w:rsidRPr="00167F8E" w:rsidRDefault="009008FC" w:rsidP="00167F8E">
      <w:pPr>
        <w:tabs>
          <w:tab w:val="left" w:pos="284"/>
          <w:tab w:val="left" w:pos="5104"/>
          <w:tab w:val="left" w:pos="6237"/>
        </w:tabs>
        <w:spacing w:line="360" w:lineRule="auto"/>
        <w:ind w:left="284" w:hanging="284"/>
        <w:jc w:val="center"/>
        <w:rPr>
          <w:rFonts w:ascii="Arial" w:hAnsi="Arial" w:cs="Arial"/>
          <w:b/>
          <w:bCs/>
          <w:sz w:val="24"/>
          <w:szCs w:val="24"/>
        </w:rPr>
      </w:pPr>
      <w:r w:rsidRPr="00167F8E">
        <w:rPr>
          <w:rFonts w:ascii="Arial" w:hAnsi="Arial" w:cs="Arial"/>
          <w:b/>
          <w:bCs/>
          <w:sz w:val="24"/>
          <w:szCs w:val="24"/>
        </w:rPr>
        <w:t xml:space="preserve">einer </w:t>
      </w:r>
      <w:r w:rsidR="007A7CC8" w:rsidRPr="00167F8E">
        <w:rPr>
          <w:rFonts w:ascii="Arial" w:hAnsi="Arial" w:cs="Arial"/>
          <w:b/>
          <w:bCs/>
          <w:sz w:val="24"/>
          <w:szCs w:val="24"/>
        </w:rPr>
        <w:t>Baugenehmigung nach § </w:t>
      </w:r>
      <w:r w:rsidRPr="00167F8E">
        <w:rPr>
          <w:rFonts w:ascii="Arial" w:hAnsi="Arial" w:cs="Arial"/>
          <w:b/>
          <w:bCs/>
          <w:sz w:val="24"/>
          <w:szCs w:val="24"/>
        </w:rPr>
        <w:t>7</w:t>
      </w:r>
      <w:r w:rsidR="00D57BEA" w:rsidRPr="00167F8E">
        <w:rPr>
          <w:rFonts w:ascii="Arial" w:hAnsi="Arial" w:cs="Arial"/>
          <w:b/>
          <w:bCs/>
          <w:sz w:val="24"/>
          <w:szCs w:val="24"/>
        </w:rPr>
        <w:t>3</w:t>
      </w:r>
      <w:r w:rsidRPr="00167F8E">
        <w:rPr>
          <w:rFonts w:ascii="Arial" w:hAnsi="Arial" w:cs="Arial"/>
          <w:b/>
          <w:bCs/>
          <w:sz w:val="24"/>
          <w:szCs w:val="24"/>
        </w:rPr>
        <w:t xml:space="preserve"> Landesbauordnung (LBO)</w:t>
      </w:r>
    </w:p>
    <w:p w:rsidR="009008FC" w:rsidRPr="00167F8E" w:rsidRDefault="009008FC" w:rsidP="00167F8E">
      <w:pPr>
        <w:tabs>
          <w:tab w:val="left" w:pos="284"/>
          <w:tab w:val="left" w:pos="5104"/>
          <w:tab w:val="left" w:pos="6237"/>
        </w:tabs>
        <w:spacing w:line="360" w:lineRule="auto"/>
        <w:ind w:left="284" w:hanging="284"/>
        <w:jc w:val="center"/>
        <w:rPr>
          <w:rFonts w:ascii="Arial" w:hAnsi="Arial" w:cs="Arial"/>
          <w:b/>
          <w:bCs/>
          <w:sz w:val="24"/>
          <w:szCs w:val="24"/>
        </w:rPr>
      </w:pPr>
      <w:r w:rsidRPr="00167F8E">
        <w:rPr>
          <w:rFonts w:ascii="Arial" w:hAnsi="Arial" w:cs="Arial"/>
          <w:b/>
          <w:bCs/>
          <w:sz w:val="24"/>
          <w:szCs w:val="24"/>
        </w:rPr>
        <w:t>zu</w:t>
      </w:r>
      <w:r w:rsidR="00323C5F" w:rsidRPr="00167F8E">
        <w:rPr>
          <w:rFonts w:ascii="Arial" w:hAnsi="Arial" w:cs="Arial"/>
          <w:b/>
          <w:bCs/>
          <w:sz w:val="24"/>
          <w:szCs w:val="24"/>
        </w:rPr>
        <w:t>m</w:t>
      </w:r>
      <w:r w:rsidRPr="00167F8E">
        <w:rPr>
          <w:rFonts w:ascii="Arial" w:hAnsi="Arial" w:cs="Arial"/>
          <w:b/>
          <w:bCs/>
          <w:sz w:val="24"/>
          <w:szCs w:val="24"/>
        </w:rPr>
        <w:t xml:space="preserve"> </w:t>
      </w:r>
      <w:r w:rsidR="00323C5F" w:rsidRPr="00167F8E">
        <w:rPr>
          <w:rFonts w:ascii="Arial" w:hAnsi="Arial" w:cs="Arial"/>
          <w:b/>
          <w:bCs/>
          <w:sz w:val="24"/>
          <w:szCs w:val="24"/>
        </w:rPr>
        <w:t>Neubau</w:t>
      </w:r>
      <w:r w:rsidRPr="00167F8E">
        <w:rPr>
          <w:rFonts w:ascii="Arial" w:hAnsi="Arial" w:cs="Arial"/>
          <w:b/>
          <w:bCs/>
          <w:sz w:val="24"/>
          <w:szCs w:val="24"/>
        </w:rPr>
        <w:t xml:space="preserve"> eines Lagers für schwach- und mittelradioaktive Abfälle und Reststoffe (LasmA)</w:t>
      </w:r>
    </w:p>
    <w:p w:rsidR="00167F8E" w:rsidRPr="00167F8E" w:rsidRDefault="00167F8E" w:rsidP="00167F8E">
      <w:pPr>
        <w:tabs>
          <w:tab w:val="left" w:pos="284"/>
          <w:tab w:val="left" w:pos="5104"/>
          <w:tab w:val="left" w:pos="6237"/>
        </w:tabs>
        <w:spacing w:line="360" w:lineRule="auto"/>
        <w:ind w:left="284" w:hanging="284"/>
        <w:jc w:val="center"/>
        <w:rPr>
          <w:rFonts w:ascii="Arial" w:hAnsi="Arial" w:cs="Arial"/>
          <w:b/>
          <w:bCs/>
          <w:sz w:val="24"/>
          <w:szCs w:val="24"/>
        </w:rPr>
      </w:pPr>
    </w:p>
    <w:p w:rsidR="00167F8E" w:rsidRPr="00167F8E" w:rsidRDefault="00F8645E" w:rsidP="00167F8E">
      <w:pPr>
        <w:pStyle w:val="berschrift2"/>
        <w:spacing w:line="360" w:lineRule="auto"/>
        <w:ind w:left="0" w:firstLine="0"/>
        <w:rPr>
          <w:rFonts w:cs="Arial"/>
          <w:szCs w:val="24"/>
        </w:rPr>
      </w:pPr>
      <w:r>
        <w:rPr>
          <w:rFonts w:cs="Arial"/>
          <w:szCs w:val="24"/>
        </w:rPr>
        <w:t xml:space="preserve">Bekanntmachung des </w:t>
      </w:r>
      <w:r w:rsidR="00167F8E" w:rsidRPr="00167F8E">
        <w:rPr>
          <w:rFonts w:cs="Arial"/>
          <w:szCs w:val="24"/>
        </w:rPr>
        <w:t>Ministerium</w:t>
      </w:r>
      <w:r>
        <w:rPr>
          <w:rFonts w:cs="Arial"/>
          <w:szCs w:val="24"/>
        </w:rPr>
        <w:t>s</w:t>
      </w:r>
      <w:r w:rsidR="00167F8E" w:rsidRPr="00167F8E">
        <w:rPr>
          <w:rFonts w:cs="Arial"/>
          <w:szCs w:val="24"/>
        </w:rPr>
        <w:t xml:space="preserve"> für Energiewende, Klimaschutz, Umwelt und Natur</w:t>
      </w:r>
      <w:r>
        <w:rPr>
          <w:rFonts w:cs="Arial"/>
          <w:szCs w:val="24"/>
        </w:rPr>
        <w:t xml:space="preserve"> </w:t>
      </w:r>
      <w:bookmarkStart w:id="0" w:name="_GoBack"/>
      <w:bookmarkEnd w:id="0"/>
      <w:r w:rsidR="00167F8E" w:rsidRPr="00167F8E">
        <w:rPr>
          <w:rFonts w:cs="Arial"/>
          <w:szCs w:val="24"/>
        </w:rPr>
        <w:t>des Landes Schleswig-Holstein</w:t>
      </w:r>
    </w:p>
    <w:p w:rsidR="00CD66A3" w:rsidRPr="00167F8E" w:rsidRDefault="00167F8E" w:rsidP="00167F8E">
      <w:pPr>
        <w:tabs>
          <w:tab w:val="left" w:pos="284"/>
          <w:tab w:val="left" w:pos="5104"/>
          <w:tab w:val="left" w:pos="6237"/>
        </w:tabs>
        <w:spacing w:line="360" w:lineRule="auto"/>
        <w:ind w:left="284" w:hanging="284"/>
        <w:jc w:val="center"/>
        <w:rPr>
          <w:rFonts w:ascii="Arial" w:hAnsi="Arial" w:cs="Arial"/>
          <w:b/>
          <w:sz w:val="24"/>
          <w:szCs w:val="24"/>
        </w:rPr>
      </w:pPr>
      <w:r w:rsidRPr="00167F8E">
        <w:rPr>
          <w:rFonts w:ascii="Arial" w:hAnsi="Arial" w:cs="Arial"/>
          <w:b/>
          <w:sz w:val="24"/>
          <w:szCs w:val="24"/>
        </w:rPr>
        <w:t>vom 15.03.2023 – V 372</w:t>
      </w:r>
    </w:p>
    <w:p w:rsidR="00167F8E" w:rsidRPr="00167F8E" w:rsidRDefault="00167F8E" w:rsidP="00167F8E">
      <w:pPr>
        <w:tabs>
          <w:tab w:val="left" w:pos="284"/>
          <w:tab w:val="left" w:pos="5104"/>
          <w:tab w:val="left" w:pos="6237"/>
        </w:tabs>
        <w:spacing w:line="360" w:lineRule="auto"/>
        <w:ind w:left="284" w:hanging="284"/>
        <w:jc w:val="center"/>
        <w:rPr>
          <w:rFonts w:ascii="Arial" w:hAnsi="Arial" w:cs="Arial"/>
          <w:b/>
          <w:bCs/>
          <w:sz w:val="24"/>
          <w:szCs w:val="24"/>
        </w:rPr>
      </w:pPr>
    </w:p>
    <w:p w:rsidR="007B20CA" w:rsidRPr="00167F8E" w:rsidRDefault="00250C80" w:rsidP="00167F8E">
      <w:pPr>
        <w:pStyle w:val="Default"/>
        <w:spacing w:line="360" w:lineRule="auto"/>
        <w:jc w:val="both"/>
      </w:pPr>
      <w:r w:rsidRPr="00167F8E">
        <w:t>D</w:t>
      </w:r>
      <w:r w:rsidR="007B20CA" w:rsidRPr="00167F8E">
        <w:t xml:space="preserve">as Ministerium für Energiewende, </w:t>
      </w:r>
      <w:r w:rsidR="00A23430" w:rsidRPr="00167F8E">
        <w:t>K</w:t>
      </w:r>
      <w:r w:rsidR="00B011B3" w:rsidRPr="00167F8E">
        <w:t>l</w:t>
      </w:r>
      <w:r w:rsidR="00A23430" w:rsidRPr="00167F8E">
        <w:t>im</w:t>
      </w:r>
      <w:r w:rsidR="009008FC" w:rsidRPr="00167F8E">
        <w:t>a</w:t>
      </w:r>
      <w:r w:rsidR="00A23430" w:rsidRPr="00167F8E">
        <w:t>schutz</w:t>
      </w:r>
      <w:r w:rsidR="007B20CA" w:rsidRPr="00167F8E">
        <w:t>, Umwelt</w:t>
      </w:r>
      <w:r w:rsidR="00A23430" w:rsidRPr="00167F8E">
        <w:t xml:space="preserve"> und </w:t>
      </w:r>
      <w:r w:rsidR="007B20CA" w:rsidRPr="00167F8E">
        <w:t xml:space="preserve">Natur des Landes Schleswig-Holstein </w:t>
      </w:r>
      <w:r w:rsidRPr="00167F8E">
        <w:t xml:space="preserve">hat </w:t>
      </w:r>
      <w:r w:rsidR="007B20CA" w:rsidRPr="00167F8E">
        <w:t xml:space="preserve">der Kernkraftwerk Brunsbüttel GmbH &amp; Co. </w:t>
      </w:r>
      <w:proofErr w:type="spellStart"/>
      <w:r w:rsidR="007B20CA" w:rsidRPr="00167F8E">
        <w:t>oHG</w:t>
      </w:r>
      <w:proofErr w:type="spellEnd"/>
      <w:r w:rsidR="007B20CA" w:rsidRPr="00167F8E">
        <w:t xml:space="preserve">, Otto-Hahn-Straße, 25541 Brunsbüttel, </w:t>
      </w:r>
      <w:r w:rsidR="005929B8" w:rsidRPr="00167F8E">
        <w:t>eine</w:t>
      </w:r>
      <w:r w:rsidR="007B20CA" w:rsidRPr="00167F8E">
        <w:t xml:space="preserve"> Genehmigung </w:t>
      </w:r>
      <w:r w:rsidR="005929B8" w:rsidRPr="00167F8E">
        <w:t xml:space="preserve">zum Umgang mit radioaktiven Stoffen </w:t>
      </w:r>
      <w:r w:rsidR="007A7CC8" w:rsidRPr="00167F8E">
        <w:t>gemäß § </w:t>
      </w:r>
      <w:r w:rsidR="00A23430" w:rsidRPr="00167F8E">
        <w:t>12</w:t>
      </w:r>
      <w:r w:rsidR="007A7CC8" w:rsidRPr="00167F8E">
        <w:t xml:space="preserve"> Abs. </w:t>
      </w:r>
      <w:r w:rsidR="00A23430" w:rsidRPr="00167F8E">
        <w:t>1</w:t>
      </w:r>
      <w:r w:rsidR="007B20CA" w:rsidRPr="00167F8E">
        <w:t xml:space="preserve"> </w:t>
      </w:r>
      <w:r w:rsidR="007A7CC8" w:rsidRPr="00167F8E">
        <w:t>Nr. 3 </w:t>
      </w:r>
      <w:r w:rsidR="005929B8" w:rsidRPr="00167F8E">
        <w:t>StrlSchG</w:t>
      </w:r>
      <w:r w:rsidR="007B20CA" w:rsidRPr="00167F8E">
        <w:t xml:space="preserve"> vom </w:t>
      </w:r>
      <w:r w:rsidR="005929B8" w:rsidRPr="00167F8E">
        <w:t>27.06.2017</w:t>
      </w:r>
      <w:r w:rsidR="007B20CA" w:rsidRPr="00167F8E">
        <w:t>,</w:t>
      </w:r>
      <w:r w:rsidR="007A7CC8" w:rsidRPr="00167F8E">
        <w:t xml:space="preserve"> zuletzt geändert durch Artikel </w:t>
      </w:r>
      <w:r w:rsidR="0096240B" w:rsidRPr="00167F8E">
        <w:t>3 der Verordnung vom 11.11.2020 (BGBl. I S. 2428)</w:t>
      </w:r>
      <w:r w:rsidR="005929B8" w:rsidRPr="00167F8E">
        <w:t xml:space="preserve"> und 2</w:t>
      </w:r>
      <w:r w:rsidR="007B20CA" w:rsidRPr="00167F8E">
        <w:t xml:space="preserve"> des Gesetzes vom </w:t>
      </w:r>
      <w:r w:rsidR="005929B8" w:rsidRPr="00167F8E">
        <w:t>20</w:t>
      </w:r>
      <w:r w:rsidR="007B20CA" w:rsidRPr="00167F8E">
        <w:t>.0</w:t>
      </w:r>
      <w:r w:rsidR="005929B8" w:rsidRPr="00167F8E">
        <w:t>5</w:t>
      </w:r>
      <w:r w:rsidR="007B20CA" w:rsidRPr="00167F8E">
        <w:t>.20</w:t>
      </w:r>
      <w:r w:rsidR="005929B8" w:rsidRPr="00167F8E">
        <w:t>21</w:t>
      </w:r>
      <w:r w:rsidR="007B20CA" w:rsidRPr="00167F8E">
        <w:t xml:space="preserve"> (</w:t>
      </w:r>
      <w:r w:rsidR="005929B8" w:rsidRPr="00167F8E">
        <w:t>BGBl. I S. 1194 i.</w:t>
      </w:r>
      <w:r w:rsidR="007A7CC8" w:rsidRPr="00167F8E">
        <w:t> </w:t>
      </w:r>
      <w:r w:rsidR="005929B8" w:rsidRPr="00167F8E">
        <w:t>V.</w:t>
      </w:r>
      <w:r w:rsidR="007A7CC8" w:rsidRPr="00167F8E">
        <w:t> </w:t>
      </w:r>
      <w:r w:rsidR="005929B8" w:rsidRPr="00167F8E">
        <w:t>m. Bek. v. 3.1.2022, BGBl. I S. 15</w:t>
      </w:r>
      <w:r w:rsidR="007B20CA" w:rsidRPr="00167F8E">
        <w:t xml:space="preserve">), erteilt. </w:t>
      </w:r>
    </w:p>
    <w:p w:rsidR="007B20CA" w:rsidRPr="00167F8E" w:rsidRDefault="007B20CA" w:rsidP="00167F8E">
      <w:pPr>
        <w:pStyle w:val="Default"/>
        <w:spacing w:line="360" w:lineRule="auto"/>
        <w:jc w:val="both"/>
      </w:pPr>
    </w:p>
    <w:p w:rsidR="007B20CA" w:rsidRPr="00167F8E" w:rsidRDefault="007B20CA" w:rsidP="00167F8E">
      <w:pPr>
        <w:pStyle w:val="Default"/>
        <w:spacing w:line="360" w:lineRule="auto"/>
        <w:jc w:val="both"/>
        <w:rPr>
          <w:bCs/>
        </w:rPr>
      </w:pPr>
      <w:r w:rsidRPr="00167F8E">
        <w:t xml:space="preserve">Gemäß </w:t>
      </w:r>
      <w:r w:rsidR="007A7CC8" w:rsidRPr="00167F8E">
        <w:t>§ 181 </w:t>
      </w:r>
      <w:r w:rsidR="005929B8" w:rsidRPr="00167F8E">
        <w:t xml:space="preserve">StrlSchG </w:t>
      </w:r>
      <w:r w:rsidR="0096240B" w:rsidRPr="00167F8E">
        <w:t>i.</w:t>
      </w:r>
      <w:r w:rsidR="007A7CC8" w:rsidRPr="00167F8E">
        <w:t> </w:t>
      </w:r>
      <w:r w:rsidR="0096240B" w:rsidRPr="00167F8E">
        <w:t>V.</w:t>
      </w:r>
      <w:r w:rsidR="007A7CC8" w:rsidRPr="00167F8E">
        <w:t> </w:t>
      </w:r>
      <w:r w:rsidR="0096240B" w:rsidRPr="00167F8E">
        <w:t>m.</w:t>
      </w:r>
      <w:r w:rsidR="005929B8" w:rsidRPr="00167F8E">
        <w:t xml:space="preserve"> </w:t>
      </w:r>
      <w:r w:rsidR="007A7CC8" w:rsidRPr="00167F8E">
        <w:t>§ 15 Abs. 3 Satz </w:t>
      </w:r>
      <w:r w:rsidRPr="00167F8E">
        <w:t xml:space="preserve">2 </w:t>
      </w:r>
      <w:r w:rsidR="0096240B" w:rsidRPr="00167F8E">
        <w:t>und</w:t>
      </w:r>
      <w:r w:rsidR="007A7CC8" w:rsidRPr="00167F8E">
        <w:t xml:space="preserve"> § </w:t>
      </w:r>
      <w:r w:rsidRPr="00167F8E">
        <w:t xml:space="preserve">17 der </w:t>
      </w:r>
      <w:r w:rsidRPr="00167F8E">
        <w:rPr>
          <w:bCs/>
        </w:rPr>
        <w:t>Atomrechtlichen Verfahrensverordnung (AtVfV)</w:t>
      </w:r>
      <w:r w:rsidRPr="00167F8E">
        <w:t xml:space="preserve"> </w:t>
      </w:r>
      <w:r w:rsidR="007A7CC8" w:rsidRPr="00167F8E">
        <w:t>i. d. </w:t>
      </w:r>
      <w:r w:rsidRPr="00167F8E">
        <w:t xml:space="preserve">F. vom 3.02.1995 (BGBl. I S. 180), </w:t>
      </w:r>
      <w:r w:rsidR="007A7CC8" w:rsidRPr="00167F8E">
        <w:t>zuletzt geändert durch Artikel </w:t>
      </w:r>
      <w:r w:rsidR="0096240B" w:rsidRPr="00167F8E">
        <w:t>3</w:t>
      </w:r>
      <w:r w:rsidRPr="00167F8E">
        <w:t xml:space="preserve"> </w:t>
      </w:r>
      <w:r w:rsidR="0096240B" w:rsidRPr="00167F8E">
        <w:t>der Verordnung vom 11.11.2020 (BGBl. I S. 2428),</w:t>
      </w:r>
      <w:r w:rsidRPr="00167F8E">
        <w:t xml:space="preserve"> sowie in Anwendung des § 4 Abs.</w:t>
      </w:r>
      <w:r w:rsidR="00B011B3" w:rsidRPr="00167F8E">
        <w:t> </w:t>
      </w:r>
      <w:r w:rsidR="007A7CC8" w:rsidRPr="00167F8E">
        <w:t>1 </w:t>
      </w:r>
      <w:r w:rsidRPr="00167F8E">
        <w:t xml:space="preserve">AtVfV </w:t>
      </w:r>
      <w:r w:rsidRPr="00167F8E">
        <w:rPr>
          <w:u w:val="single"/>
        </w:rPr>
        <w:t>werden der verfügende Teil des Bescheides und die Rechtsbehelfsbelehrung</w:t>
      </w:r>
      <w:r w:rsidRPr="00167F8E">
        <w:t xml:space="preserve"> als </w:t>
      </w:r>
      <w:r w:rsidRPr="00167F8E">
        <w:rPr>
          <w:b/>
          <w:bCs/>
          <w:u w:val="single"/>
        </w:rPr>
        <w:t>Anlage</w:t>
      </w:r>
      <w:r w:rsidRPr="00167F8E">
        <w:rPr>
          <w:b/>
          <w:bCs/>
        </w:rPr>
        <w:t xml:space="preserve"> </w:t>
      </w:r>
      <w:r w:rsidRPr="00167F8E">
        <w:t>öffentlich bekanntgemacht. Die öffentliche Bekanntmac</w:t>
      </w:r>
      <w:r w:rsidR="00724D6D" w:rsidRPr="00167F8E">
        <w:t>hung ersetzt in Anwendung des § 17 Abs. 3 Satz 3 </w:t>
      </w:r>
      <w:r w:rsidRPr="00167F8E">
        <w:t>AtVfV die Zustellung an die Personen, die Einwendungen erhoben haben. Der Bescheid</w:t>
      </w:r>
      <w:r w:rsidR="00323C5F" w:rsidRPr="00167F8E">
        <w:t xml:space="preserve"> enthält Auflagen und Hinweise.</w:t>
      </w:r>
    </w:p>
    <w:p w:rsidR="00323C5F" w:rsidRPr="00167F8E" w:rsidRDefault="00323C5F" w:rsidP="00167F8E">
      <w:pPr>
        <w:pStyle w:val="Default"/>
        <w:spacing w:line="360" w:lineRule="auto"/>
        <w:jc w:val="both"/>
      </w:pPr>
    </w:p>
    <w:p w:rsidR="00323C5F" w:rsidRPr="00167F8E" w:rsidRDefault="00323C5F" w:rsidP="00167F8E">
      <w:pPr>
        <w:pStyle w:val="Default"/>
        <w:spacing w:line="360" w:lineRule="auto"/>
        <w:jc w:val="both"/>
      </w:pPr>
      <w:r w:rsidRPr="00167F8E">
        <w:t>Ferner hat die Stadt Brunsbüttel – Untere Bauaufsichtsbehörde - mit Bescheid vom 2</w:t>
      </w:r>
      <w:r w:rsidR="00724D6D" w:rsidRPr="00167F8E">
        <w:t>2.02.2019 (Az. 00165/14) gem. § </w:t>
      </w:r>
      <w:r w:rsidRPr="00167F8E">
        <w:t>7</w:t>
      </w:r>
      <w:r w:rsidR="00D57BEA" w:rsidRPr="00167F8E">
        <w:t>3</w:t>
      </w:r>
      <w:r w:rsidR="00724D6D" w:rsidRPr="00167F8E">
        <w:t> </w:t>
      </w:r>
      <w:r w:rsidRPr="00167F8E">
        <w:t>LBO vom 22.01.200</w:t>
      </w:r>
      <w:r w:rsidR="00724D6D" w:rsidRPr="00167F8E">
        <w:t>9 (</w:t>
      </w:r>
      <w:proofErr w:type="spellStart"/>
      <w:r w:rsidR="00724D6D" w:rsidRPr="00167F8E">
        <w:t>GVOBl</w:t>
      </w:r>
      <w:proofErr w:type="spellEnd"/>
      <w:r w:rsidR="00724D6D" w:rsidRPr="00167F8E">
        <w:t xml:space="preserve">. </w:t>
      </w:r>
      <w:proofErr w:type="spellStart"/>
      <w:r w:rsidR="00724D6D" w:rsidRPr="00167F8E">
        <w:t>Schl</w:t>
      </w:r>
      <w:proofErr w:type="spellEnd"/>
      <w:r w:rsidR="00724D6D" w:rsidRPr="00167F8E">
        <w:t>.-H. S. 6), und § </w:t>
      </w:r>
      <w:r w:rsidRPr="00167F8E">
        <w:t>11 des Landesnaturschutzgesetzes vom 24.02.2010 (</w:t>
      </w:r>
      <w:proofErr w:type="spellStart"/>
      <w:r w:rsidRPr="00167F8E">
        <w:t>GVOBl</w:t>
      </w:r>
      <w:proofErr w:type="spellEnd"/>
      <w:r w:rsidRPr="00167F8E">
        <w:t xml:space="preserve">. </w:t>
      </w:r>
      <w:proofErr w:type="spellStart"/>
      <w:r w:rsidRPr="00167F8E">
        <w:t>Schl</w:t>
      </w:r>
      <w:proofErr w:type="spellEnd"/>
      <w:r w:rsidRPr="00167F8E">
        <w:t xml:space="preserve">.-H. S. 301) in der </w:t>
      </w:r>
      <w:r w:rsidR="00DF0728" w:rsidRPr="00167F8E">
        <w:t>jeweils zum Zeitpunkt der Erteilung der Genehmigung geltenden Fassung die Genehmigung zum Neubau eines Lagers für schwach- und mittelradioaktive Abfälle und Reststoffe erteilt.</w:t>
      </w:r>
    </w:p>
    <w:p w:rsidR="00DF0728" w:rsidRPr="00167F8E" w:rsidRDefault="00724D6D" w:rsidP="00167F8E">
      <w:pPr>
        <w:pStyle w:val="Default"/>
        <w:spacing w:line="360" w:lineRule="auto"/>
        <w:jc w:val="both"/>
        <w:rPr>
          <w:shd w:val="clear" w:color="auto" w:fill="FFFFFF"/>
        </w:rPr>
      </w:pPr>
      <w:r w:rsidRPr="00167F8E">
        <w:lastRenderedPageBreak/>
        <w:t>Gem. § 70a Abs. 5 </w:t>
      </w:r>
      <w:r w:rsidR="00DF0728" w:rsidRPr="00167F8E">
        <w:t xml:space="preserve">LBO </w:t>
      </w:r>
      <w:r w:rsidR="00D57BEA" w:rsidRPr="00167F8E">
        <w:t>wurde</w:t>
      </w:r>
      <w:r w:rsidR="00DF0728" w:rsidRPr="00167F8E">
        <w:t xml:space="preserve"> die </w:t>
      </w:r>
      <w:r w:rsidR="00DF0728" w:rsidRPr="00167F8E">
        <w:rPr>
          <w:shd w:val="clear" w:color="auto" w:fill="FFFFFF"/>
        </w:rPr>
        <w:t>Zuste</w:t>
      </w:r>
      <w:r w:rsidRPr="00167F8E">
        <w:rPr>
          <w:shd w:val="clear" w:color="auto" w:fill="FFFFFF"/>
        </w:rPr>
        <w:t>llung der Baugenehmigung nach § </w:t>
      </w:r>
      <w:r w:rsidR="00DF0728" w:rsidRPr="00167F8E">
        <w:rPr>
          <w:shd w:val="clear" w:color="auto" w:fill="FFFFFF"/>
        </w:rPr>
        <w:t>70a Abs. 1 durch öffentliche Bekanntmachung ersetzt. In</w:t>
      </w:r>
      <w:r w:rsidRPr="00167F8E">
        <w:rPr>
          <w:shd w:val="clear" w:color="auto" w:fill="FFFFFF"/>
        </w:rPr>
        <w:t xml:space="preserve"> weiterer Anwendung des § 70a Abs. 5 </w:t>
      </w:r>
      <w:r w:rsidR="00DF0728" w:rsidRPr="00167F8E">
        <w:rPr>
          <w:shd w:val="clear" w:color="auto" w:fill="FFFFFF"/>
        </w:rPr>
        <w:t xml:space="preserve">LBO </w:t>
      </w:r>
      <w:r w:rsidR="00D57BEA" w:rsidRPr="00167F8E">
        <w:rPr>
          <w:shd w:val="clear" w:color="auto" w:fill="FFFFFF"/>
        </w:rPr>
        <w:t>wurde</w:t>
      </w:r>
      <w:r w:rsidR="00DF0728" w:rsidRPr="00167F8E">
        <w:rPr>
          <w:shd w:val="clear" w:color="auto" w:fill="FFFFFF"/>
        </w:rPr>
        <w:t xml:space="preserve"> die öffentliche Bekanntmachung dadurch bewirkt, dass der verfügende Teil der Baugenehmigung und die Rechtsbehelfsbelehrung bekannt gemacht w</w:t>
      </w:r>
      <w:r w:rsidR="00150134" w:rsidRPr="00167F8E">
        <w:rPr>
          <w:shd w:val="clear" w:color="auto" w:fill="FFFFFF"/>
        </w:rPr>
        <w:t>u</w:t>
      </w:r>
      <w:r w:rsidR="00DF0728" w:rsidRPr="00167F8E">
        <w:rPr>
          <w:shd w:val="clear" w:color="auto" w:fill="FFFFFF"/>
        </w:rPr>
        <w:t>rden. Der Bescheid enthält Auflagen und Hinweise.</w:t>
      </w:r>
    </w:p>
    <w:p w:rsidR="007B20CA" w:rsidRPr="00167F8E" w:rsidRDefault="007B20CA" w:rsidP="00167F8E">
      <w:pPr>
        <w:pStyle w:val="Default"/>
        <w:spacing w:line="360" w:lineRule="auto"/>
        <w:jc w:val="both"/>
      </w:pPr>
    </w:p>
    <w:p w:rsidR="007B20CA" w:rsidRDefault="007B20CA" w:rsidP="00167F8E">
      <w:pPr>
        <w:pStyle w:val="Default"/>
        <w:spacing w:line="360" w:lineRule="auto"/>
        <w:jc w:val="both"/>
      </w:pPr>
      <w:r w:rsidRPr="00167F8E">
        <w:t xml:space="preserve">Je eine Ausfertigung des </w:t>
      </w:r>
      <w:r w:rsidR="00DF0728" w:rsidRPr="00167F8E">
        <w:t>jeweils gesamten</w:t>
      </w:r>
      <w:r w:rsidRPr="00167F8E">
        <w:t xml:space="preserve"> Bescheides liegt in der Zeit vom </w:t>
      </w:r>
      <w:r w:rsidR="005D009C" w:rsidRPr="00167F8E">
        <w:t>11</w:t>
      </w:r>
      <w:r w:rsidRPr="00167F8E">
        <w:t>.</w:t>
      </w:r>
      <w:r w:rsidR="005D009C" w:rsidRPr="00167F8E">
        <w:t>04</w:t>
      </w:r>
      <w:r w:rsidRPr="00167F8E">
        <w:t xml:space="preserve">.2023 bis einschließlich </w:t>
      </w:r>
      <w:r w:rsidR="005D009C" w:rsidRPr="00167F8E">
        <w:t>25</w:t>
      </w:r>
      <w:r w:rsidRPr="00167F8E">
        <w:t>.</w:t>
      </w:r>
      <w:r w:rsidR="005D009C" w:rsidRPr="00167F8E">
        <w:t>04</w:t>
      </w:r>
      <w:r w:rsidRPr="00167F8E">
        <w:t>.2023</w:t>
      </w:r>
      <w:r w:rsidR="00167F8E">
        <w:t xml:space="preserve"> während der Dienststunden</w:t>
      </w:r>
    </w:p>
    <w:p w:rsidR="00167F8E" w:rsidRPr="00167F8E" w:rsidRDefault="00167F8E" w:rsidP="00167F8E">
      <w:pPr>
        <w:pStyle w:val="Default"/>
        <w:spacing w:line="360" w:lineRule="auto"/>
        <w:jc w:val="both"/>
      </w:pPr>
    </w:p>
    <w:p w:rsidR="007B20CA" w:rsidRPr="00167F8E" w:rsidRDefault="007B20CA" w:rsidP="00167F8E">
      <w:pPr>
        <w:pStyle w:val="Textkrper-Einzug2"/>
        <w:spacing w:line="360" w:lineRule="auto"/>
        <w:jc w:val="both"/>
        <w:rPr>
          <w:rFonts w:cs="Arial"/>
          <w:szCs w:val="24"/>
        </w:rPr>
      </w:pPr>
      <w:r w:rsidRPr="00167F8E">
        <w:rPr>
          <w:rFonts w:cs="Arial"/>
          <w:szCs w:val="24"/>
        </w:rPr>
        <w:t>-</w:t>
      </w:r>
      <w:r w:rsidRPr="00167F8E">
        <w:rPr>
          <w:rFonts w:cs="Arial"/>
          <w:szCs w:val="24"/>
        </w:rPr>
        <w:tab/>
      </w:r>
      <w:r w:rsidRPr="00167F8E">
        <w:rPr>
          <w:rFonts w:cs="Arial"/>
          <w:szCs w:val="24"/>
        </w:rPr>
        <w:tab/>
        <w:t>im Ministerium für Energiewende, Klimaschutz, Umwelt und Natur des Landes Schleswig-Holstein, Dienstgebäude Adolf-Westphal-Str. 4, 24143 Kiel, Pförtnerloge, montags bis freitags von 08:30 bis 15:00 Uhr, und</w:t>
      </w:r>
    </w:p>
    <w:p w:rsidR="007B20CA" w:rsidRDefault="007B20CA" w:rsidP="00167F8E">
      <w:pPr>
        <w:overflowPunct/>
        <w:spacing w:line="360" w:lineRule="auto"/>
        <w:ind w:left="567" w:hanging="567"/>
        <w:jc w:val="both"/>
        <w:textAlignment w:val="auto"/>
        <w:rPr>
          <w:rFonts w:ascii="Arial" w:hAnsi="Arial" w:cs="Arial"/>
          <w:sz w:val="24"/>
          <w:szCs w:val="24"/>
        </w:rPr>
      </w:pPr>
      <w:r w:rsidRPr="00167F8E">
        <w:rPr>
          <w:rFonts w:ascii="Arial" w:hAnsi="Arial" w:cs="Arial"/>
          <w:sz w:val="24"/>
          <w:szCs w:val="24"/>
        </w:rPr>
        <w:t>-</w:t>
      </w:r>
      <w:r w:rsidRPr="00167F8E">
        <w:rPr>
          <w:rFonts w:ascii="Arial" w:hAnsi="Arial" w:cs="Arial"/>
          <w:sz w:val="24"/>
          <w:szCs w:val="24"/>
        </w:rPr>
        <w:tab/>
      </w:r>
      <w:r w:rsidRPr="00167F8E">
        <w:rPr>
          <w:rFonts w:ascii="Arial" w:eastAsiaTheme="minorEastAsia" w:hAnsi="Arial" w:cs="Arial"/>
          <w:sz w:val="24"/>
          <w:szCs w:val="24"/>
          <w:lang w:eastAsia="zh-CN"/>
        </w:rPr>
        <w:t>bei der Stadt Brunsbüttel, Fachbereich</w:t>
      </w:r>
      <w:r w:rsidR="000A59D3" w:rsidRPr="00167F8E">
        <w:rPr>
          <w:rFonts w:ascii="Arial" w:eastAsiaTheme="minorEastAsia" w:hAnsi="Arial" w:cs="Arial"/>
          <w:sz w:val="24"/>
          <w:szCs w:val="24"/>
          <w:lang w:eastAsia="zh-CN"/>
        </w:rPr>
        <w:t xml:space="preserve"> 3 - </w:t>
      </w:r>
      <w:r w:rsidRPr="00167F8E">
        <w:rPr>
          <w:rFonts w:ascii="Arial" w:eastAsiaTheme="minorEastAsia" w:hAnsi="Arial" w:cs="Arial"/>
          <w:sz w:val="24"/>
          <w:szCs w:val="24"/>
          <w:lang w:eastAsia="zh-CN"/>
        </w:rPr>
        <w:t>Bau</w:t>
      </w:r>
      <w:r w:rsidR="000A59D3" w:rsidRPr="00167F8E">
        <w:rPr>
          <w:rFonts w:ascii="Arial" w:eastAsiaTheme="minorEastAsia" w:hAnsi="Arial" w:cs="Arial"/>
          <w:sz w:val="24"/>
          <w:szCs w:val="24"/>
          <w:lang w:eastAsia="zh-CN"/>
        </w:rPr>
        <w:t>amt</w:t>
      </w:r>
      <w:r w:rsidRPr="00167F8E">
        <w:rPr>
          <w:rFonts w:ascii="Arial" w:eastAsiaTheme="minorEastAsia" w:hAnsi="Arial" w:cs="Arial"/>
          <w:sz w:val="24"/>
          <w:szCs w:val="24"/>
          <w:lang w:eastAsia="zh-CN"/>
        </w:rPr>
        <w:t xml:space="preserve">, </w:t>
      </w:r>
      <w:r w:rsidR="000A59D3" w:rsidRPr="00167F8E">
        <w:rPr>
          <w:rFonts w:ascii="Arial" w:eastAsiaTheme="minorEastAsia" w:hAnsi="Arial" w:cs="Arial"/>
          <w:sz w:val="24"/>
          <w:szCs w:val="24"/>
          <w:lang w:eastAsia="zh-CN"/>
        </w:rPr>
        <w:t>Albert-Schweitzer-Straße 9</w:t>
      </w:r>
      <w:r w:rsidRPr="00167F8E">
        <w:rPr>
          <w:rFonts w:ascii="Arial" w:eastAsiaTheme="minorEastAsia" w:hAnsi="Arial" w:cs="Arial"/>
          <w:sz w:val="24"/>
          <w:szCs w:val="24"/>
          <w:lang w:eastAsia="zh-CN"/>
        </w:rPr>
        <w:t xml:space="preserve">, 25541 Brunsbüttel, </w:t>
      </w:r>
      <w:r w:rsidR="000A59D3" w:rsidRPr="00167F8E">
        <w:rPr>
          <w:rFonts w:ascii="Arial" w:eastAsiaTheme="minorEastAsia" w:hAnsi="Arial" w:cs="Arial"/>
          <w:sz w:val="24"/>
          <w:szCs w:val="24"/>
          <w:lang w:eastAsia="zh-CN"/>
        </w:rPr>
        <w:t>Obergeschoss (Raum 119)</w:t>
      </w:r>
      <w:r w:rsidRPr="00167F8E">
        <w:rPr>
          <w:rFonts w:ascii="Arial" w:eastAsiaTheme="minorEastAsia" w:hAnsi="Arial" w:cs="Arial"/>
          <w:sz w:val="24"/>
          <w:szCs w:val="24"/>
          <w:lang w:eastAsia="zh-CN"/>
        </w:rPr>
        <w:t>, montags bis freitags von 8:30 bis 12:00 Uhr, sowie montags von 14:00 bis 16:30 Uhr und dienstags von 14:00 bis 18:00 Uhr,</w:t>
      </w:r>
    </w:p>
    <w:p w:rsidR="00167F8E" w:rsidRPr="00167F8E" w:rsidRDefault="00167F8E" w:rsidP="00167F8E">
      <w:pPr>
        <w:overflowPunct/>
        <w:spacing w:line="360" w:lineRule="auto"/>
        <w:ind w:left="567" w:hanging="567"/>
        <w:jc w:val="both"/>
        <w:textAlignment w:val="auto"/>
        <w:rPr>
          <w:rFonts w:ascii="Arial" w:eastAsiaTheme="minorEastAsia" w:hAnsi="Arial" w:cs="Arial"/>
          <w:sz w:val="24"/>
          <w:szCs w:val="24"/>
          <w:lang w:eastAsia="zh-CN"/>
        </w:rPr>
      </w:pPr>
    </w:p>
    <w:p w:rsidR="007B20CA" w:rsidRDefault="00167F8E" w:rsidP="00167F8E">
      <w:pPr>
        <w:pStyle w:val="Default"/>
        <w:spacing w:line="360" w:lineRule="auto"/>
        <w:jc w:val="both"/>
      </w:pPr>
      <w:r>
        <w:t>zur Einsichtnahme aus.</w:t>
      </w:r>
    </w:p>
    <w:p w:rsidR="00167F8E" w:rsidRPr="00167F8E" w:rsidRDefault="00167F8E" w:rsidP="00167F8E">
      <w:pPr>
        <w:pStyle w:val="Default"/>
        <w:spacing w:line="360" w:lineRule="auto"/>
        <w:jc w:val="both"/>
      </w:pPr>
    </w:p>
    <w:p w:rsidR="007B20CA" w:rsidRPr="00167F8E" w:rsidRDefault="007B20CA" w:rsidP="00167F8E">
      <w:pPr>
        <w:pStyle w:val="Default"/>
        <w:spacing w:line="360" w:lineRule="auto"/>
        <w:jc w:val="both"/>
      </w:pPr>
      <w:r w:rsidRPr="00167F8E">
        <w:t xml:space="preserve">Nach der öffentlichen Bekanntmachung können der Bescheid und seine Begründung bis zum Ablauf der Rechtsbehelfsfrist von Personen, die Einwendungen </w:t>
      </w:r>
      <w:r w:rsidR="00DF0728" w:rsidRPr="00167F8E">
        <w:t xml:space="preserve">in den jeweiligen Verfahren </w:t>
      </w:r>
      <w:r w:rsidRPr="00167F8E">
        <w:t xml:space="preserve">erhoben haben beim Ministerium für Energiewende, </w:t>
      </w:r>
      <w:r w:rsidR="00DF0728" w:rsidRPr="00167F8E">
        <w:t>Klimaschutz</w:t>
      </w:r>
      <w:r w:rsidRPr="00167F8E">
        <w:t>, Umwelt</w:t>
      </w:r>
      <w:r w:rsidR="00DF0728" w:rsidRPr="00167F8E">
        <w:t xml:space="preserve"> und </w:t>
      </w:r>
      <w:r w:rsidRPr="00167F8E">
        <w:t xml:space="preserve">Natur des Landes Schleswig-Holstein, Adolf-Westphal-Str. 4, 24143 Kiel, schriftlich angefordert werden. Mit dem Ende der Auslegungsfrist gilt der </w:t>
      </w:r>
      <w:r w:rsidR="00DF0728" w:rsidRPr="00167F8E">
        <w:t xml:space="preserve">jeweilige </w:t>
      </w:r>
      <w:r w:rsidRPr="00167F8E">
        <w:t xml:space="preserve">Bescheid auch gegenüber Dritten, die keine Einwendungen erhoben haben, als zugestellt. </w:t>
      </w:r>
      <w:r w:rsidR="00DF0728" w:rsidRPr="00167F8E">
        <w:t>Die</w:t>
      </w:r>
      <w:r w:rsidRPr="00167F8E">
        <w:t xml:space="preserve"> </w:t>
      </w:r>
      <w:r w:rsidR="00DF0728" w:rsidRPr="00167F8E">
        <w:t>B</w:t>
      </w:r>
      <w:r w:rsidRPr="00167F8E">
        <w:t>escheid</w:t>
      </w:r>
      <w:r w:rsidR="00DF0728" w:rsidRPr="00167F8E">
        <w:t>e</w:t>
      </w:r>
      <w:r w:rsidRPr="00167F8E">
        <w:t xml:space="preserve"> </w:t>
      </w:r>
      <w:r w:rsidR="00DF0728" w:rsidRPr="00167F8E">
        <w:t>sind</w:t>
      </w:r>
      <w:r w:rsidRPr="00167F8E">
        <w:t xml:space="preserve"> ebenfalls auf der Internetseite des Ministeriums für Energiewende, </w:t>
      </w:r>
      <w:r w:rsidR="00DF0728" w:rsidRPr="00167F8E">
        <w:t>Klimaschutz,</w:t>
      </w:r>
      <w:r w:rsidRPr="00167F8E">
        <w:t xml:space="preserve"> Umwelt</w:t>
      </w:r>
      <w:r w:rsidR="00DF0728" w:rsidRPr="00167F8E">
        <w:t xml:space="preserve"> und</w:t>
      </w:r>
      <w:r w:rsidRPr="00167F8E">
        <w:t xml:space="preserve"> Natu</w:t>
      </w:r>
      <w:r w:rsidR="00D57BEA" w:rsidRPr="00167F8E">
        <w:t xml:space="preserve">r des Landes Schleswig-Holstein </w:t>
      </w:r>
      <w:r w:rsidRPr="00167F8E">
        <w:t xml:space="preserve">unter </w:t>
      </w:r>
    </w:p>
    <w:p w:rsidR="005A2F61" w:rsidRPr="00167F8E" w:rsidRDefault="005A2F61" w:rsidP="00167F8E">
      <w:pPr>
        <w:pStyle w:val="Default"/>
        <w:spacing w:line="360" w:lineRule="auto"/>
        <w:jc w:val="both"/>
      </w:pPr>
    </w:p>
    <w:p w:rsidR="005A2F61" w:rsidRPr="00167F8E" w:rsidRDefault="005A2F61" w:rsidP="00167F8E">
      <w:pPr>
        <w:pStyle w:val="Default"/>
        <w:spacing w:line="360" w:lineRule="auto"/>
        <w:jc w:val="both"/>
      </w:pPr>
      <w:r w:rsidRPr="00167F8E">
        <w:t>www.schleswig-holstein.de/DE/fachinhalte/R/reaktorsicherheit/kkbFachberichte.html</w:t>
      </w:r>
    </w:p>
    <w:p w:rsidR="005A2F61" w:rsidRPr="00167F8E" w:rsidRDefault="005A2F61" w:rsidP="00167F8E">
      <w:pPr>
        <w:pStyle w:val="Default"/>
        <w:spacing w:line="360" w:lineRule="auto"/>
        <w:jc w:val="both"/>
      </w:pPr>
    </w:p>
    <w:p w:rsidR="007B20CA" w:rsidRPr="00167F8E" w:rsidRDefault="00D57BEA" w:rsidP="00167F8E">
      <w:pPr>
        <w:pStyle w:val="Default"/>
        <w:spacing w:line="360" w:lineRule="auto"/>
        <w:jc w:val="both"/>
      </w:pPr>
      <w:r w:rsidRPr="00167F8E">
        <w:t xml:space="preserve">sowie im UVP-Portal unter www.uvp-verbund.de </w:t>
      </w:r>
      <w:r w:rsidR="007B20CA" w:rsidRPr="00167F8E">
        <w:t xml:space="preserve">einsehbar. </w:t>
      </w:r>
    </w:p>
    <w:p w:rsidR="00D57BEA" w:rsidRPr="00167F8E" w:rsidRDefault="00D57BEA" w:rsidP="00167F8E">
      <w:pPr>
        <w:spacing w:line="360" w:lineRule="auto"/>
        <w:jc w:val="both"/>
        <w:rPr>
          <w:rFonts w:ascii="Arial" w:hAnsi="Arial" w:cs="Arial"/>
          <w:b/>
          <w:sz w:val="24"/>
          <w:szCs w:val="24"/>
        </w:rPr>
      </w:pPr>
    </w:p>
    <w:p w:rsidR="00167F8E" w:rsidRDefault="00167F8E" w:rsidP="00167F8E">
      <w:pPr>
        <w:spacing w:line="360" w:lineRule="auto"/>
        <w:jc w:val="both"/>
        <w:rPr>
          <w:rFonts w:ascii="Arial" w:hAnsi="Arial" w:cs="Arial"/>
          <w:b/>
          <w:sz w:val="24"/>
          <w:szCs w:val="24"/>
        </w:rPr>
      </w:pPr>
    </w:p>
    <w:p w:rsidR="00167F8E" w:rsidRDefault="00167F8E" w:rsidP="00167F8E">
      <w:pPr>
        <w:spacing w:line="360" w:lineRule="auto"/>
        <w:jc w:val="both"/>
        <w:rPr>
          <w:rFonts w:ascii="Arial" w:hAnsi="Arial" w:cs="Arial"/>
          <w:b/>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lastRenderedPageBreak/>
        <w:t xml:space="preserve">Kiel, den </w:t>
      </w:r>
      <w:r w:rsidR="005A2F61" w:rsidRPr="00167F8E">
        <w:rPr>
          <w:rFonts w:ascii="Arial" w:hAnsi="Arial" w:cs="Arial"/>
          <w:b/>
          <w:sz w:val="24"/>
          <w:szCs w:val="24"/>
        </w:rPr>
        <w:t>15</w:t>
      </w:r>
      <w:r w:rsidR="005D009C" w:rsidRPr="00167F8E">
        <w:rPr>
          <w:rFonts w:ascii="Arial" w:hAnsi="Arial" w:cs="Arial"/>
          <w:b/>
          <w:sz w:val="24"/>
          <w:szCs w:val="24"/>
        </w:rPr>
        <w:t>.03</w:t>
      </w:r>
      <w:r w:rsidRPr="00167F8E">
        <w:rPr>
          <w:rFonts w:ascii="Arial" w:hAnsi="Arial" w:cs="Arial"/>
          <w:b/>
          <w:sz w:val="24"/>
          <w:szCs w:val="24"/>
        </w:rPr>
        <w:t>.2023</w:t>
      </w:r>
    </w:p>
    <w:p w:rsidR="00167F8E" w:rsidRDefault="00167F8E" w:rsidP="00167F8E">
      <w:pPr>
        <w:spacing w:line="360" w:lineRule="auto"/>
        <w:jc w:val="both"/>
        <w:rPr>
          <w:rFonts w:ascii="Arial" w:hAnsi="Arial" w:cs="Arial"/>
          <w:b/>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i.A.</w:t>
      </w:r>
    </w:p>
    <w:p w:rsidR="00167F8E" w:rsidRDefault="00167F8E" w:rsidP="00167F8E">
      <w:pPr>
        <w:spacing w:line="360" w:lineRule="auto"/>
        <w:jc w:val="both"/>
        <w:rPr>
          <w:rFonts w:ascii="Arial" w:hAnsi="Arial" w:cs="Arial"/>
          <w:b/>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Eckhoff</w:t>
      </w: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Oberregierungsrat</w:t>
      </w:r>
    </w:p>
    <w:p w:rsidR="00167F8E" w:rsidRDefault="00167F8E" w:rsidP="00167F8E">
      <w:pPr>
        <w:spacing w:line="360" w:lineRule="auto"/>
        <w:jc w:val="both"/>
        <w:rPr>
          <w:rFonts w:ascii="Arial" w:hAnsi="Arial" w:cs="Arial"/>
          <w:b/>
          <w:sz w:val="24"/>
          <w:szCs w:val="24"/>
        </w:rPr>
      </w:pPr>
    </w:p>
    <w:p w:rsidR="00167F8E" w:rsidRDefault="00167F8E" w:rsidP="00167F8E">
      <w:pPr>
        <w:spacing w:line="360" w:lineRule="auto"/>
        <w:jc w:val="both"/>
        <w:rPr>
          <w:rFonts w:ascii="Arial" w:hAnsi="Arial" w:cs="Arial"/>
          <w:b/>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Anlage 1 Strahlenschutzrechtliche Entscheidung</w:t>
      </w:r>
      <w:bookmarkStart w:id="1" w:name="_Toc113975510"/>
    </w:p>
    <w:p w:rsidR="00D57BEA" w:rsidRPr="00167F8E" w:rsidRDefault="00D57BEA" w:rsidP="00167F8E">
      <w:pPr>
        <w:spacing w:line="360" w:lineRule="auto"/>
        <w:jc w:val="both"/>
        <w:rPr>
          <w:rFonts w:ascii="Arial" w:hAnsi="Arial" w:cs="Arial"/>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A. Entscheidung</w:t>
      </w:r>
      <w:bookmarkEnd w:id="1"/>
    </w:p>
    <w:p w:rsidR="00D57BEA" w:rsidRPr="00167F8E" w:rsidRDefault="00D57BEA" w:rsidP="00167F8E">
      <w:pPr>
        <w:spacing w:line="360" w:lineRule="auto"/>
        <w:jc w:val="both"/>
        <w:rPr>
          <w:rFonts w:ascii="Arial" w:hAnsi="Arial" w:cs="Arial"/>
          <w:b/>
          <w:sz w:val="24"/>
          <w:szCs w:val="24"/>
        </w:rPr>
      </w:pPr>
    </w:p>
    <w:p w:rsidR="00D57BEA" w:rsidRPr="00167F8E" w:rsidRDefault="00D57BEA" w:rsidP="00167F8E">
      <w:pPr>
        <w:pStyle w:val="berschrift2"/>
        <w:keepLines/>
        <w:numPr>
          <w:ilvl w:val="1"/>
          <w:numId w:val="3"/>
        </w:numPr>
        <w:tabs>
          <w:tab w:val="clear" w:pos="284"/>
          <w:tab w:val="clear" w:pos="5104"/>
          <w:tab w:val="clear" w:pos="6237"/>
        </w:tabs>
        <w:overflowPunct/>
        <w:autoSpaceDE/>
        <w:autoSpaceDN/>
        <w:adjustRightInd/>
        <w:spacing w:before="120" w:after="120" w:line="360" w:lineRule="auto"/>
        <w:ind w:left="0"/>
        <w:jc w:val="both"/>
        <w:textAlignment w:val="auto"/>
        <w:rPr>
          <w:rFonts w:cs="Arial"/>
          <w:color w:val="auto"/>
          <w:szCs w:val="24"/>
        </w:rPr>
      </w:pPr>
      <w:bookmarkStart w:id="2" w:name="_Toc113975511"/>
      <w:bookmarkStart w:id="3" w:name="_Hlk50031361"/>
      <w:r w:rsidRPr="00167F8E">
        <w:rPr>
          <w:rFonts w:cs="Arial"/>
          <w:color w:val="auto"/>
          <w:szCs w:val="24"/>
        </w:rPr>
        <w:t>Genehmigungsinhalt</w:t>
      </w:r>
      <w:bookmarkEnd w:id="2"/>
    </w:p>
    <w:bookmarkEnd w:id="3"/>
    <w:p w:rsidR="00D57BEA" w:rsidRPr="00167F8E" w:rsidRDefault="00D57BEA" w:rsidP="00167F8E">
      <w:pPr>
        <w:pStyle w:val="Listenabsatz"/>
        <w:numPr>
          <w:ilvl w:val="0"/>
          <w:numId w:val="4"/>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 xml:space="preserve">Aufgrund § 12 Abs. 1 Nr. 3 StrlSchG wird der Kernkraftwerk Brunsbüttel GmbH &amp; Co. </w:t>
      </w:r>
      <w:proofErr w:type="spellStart"/>
      <w:r w:rsidRPr="00167F8E">
        <w:rPr>
          <w:rFonts w:ascii="Arial" w:hAnsi="Arial" w:cs="Arial"/>
          <w:sz w:val="24"/>
          <w:szCs w:val="24"/>
        </w:rPr>
        <w:t>oHG</w:t>
      </w:r>
      <w:proofErr w:type="spellEnd"/>
      <w:r w:rsidRPr="00167F8E">
        <w:rPr>
          <w:rFonts w:ascii="Arial" w:hAnsi="Arial" w:cs="Arial"/>
          <w:sz w:val="24"/>
          <w:szCs w:val="24"/>
        </w:rPr>
        <w:t xml:space="preserve"> (im Folgenden Antragstellerin) nach Maßgabe der Regelungen in dieser Genehmigung der Umgang mit radioaktiven Stoffen nach dem jeweils gültigen betrieblichen Reglement wie folgt genehmigt:</w:t>
      </w:r>
    </w:p>
    <w:p w:rsidR="00D57BEA" w:rsidRPr="00167F8E" w:rsidRDefault="00D57BEA" w:rsidP="00167F8E">
      <w:pPr>
        <w:spacing w:line="360" w:lineRule="auto"/>
        <w:ind w:left="708"/>
        <w:jc w:val="both"/>
        <w:rPr>
          <w:rFonts w:ascii="Arial" w:hAnsi="Arial" w:cs="Arial"/>
          <w:sz w:val="24"/>
          <w:szCs w:val="24"/>
        </w:rPr>
      </w:pPr>
      <w:r w:rsidRPr="00167F8E">
        <w:rPr>
          <w:rFonts w:ascii="Arial" w:hAnsi="Arial" w:cs="Arial"/>
          <w:sz w:val="24"/>
          <w:szCs w:val="24"/>
        </w:rPr>
        <w:t>a)</w:t>
      </w:r>
    </w:p>
    <w:p w:rsidR="00D57BEA" w:rsidRPr="00167F8E" w:rsidRDefault="00D57BEA" w:rsidP="00167F8E">
      <w:pPr>
        <w:pStyle w:val="Listenabsatz"/>
        <w:numPr>
          <w:ilvl w:val="0"/>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im Lagergebäude, bestehend aus dem Lagerbereich, dem nördlichen und dem südlichen Handhabungsbereich, des Lagers für radioaktive Reststoffe und Abfälle, dessen Ausführung mit Baugenehmigung Nr. 00165/14 von der Unteren Bauaufsichtsbehörde der Stadt Brunsbüttel (UBB) am 22.02.2019 genehmigt wurde (LasmA), der Umgang in Form</w:t>
      </w:r>
    </w:p>
    <w:p w:rsidR="00D57BEA" w:rsidRPr="00167F8E" w:rsidRDefault="00D57BEA" w:rsidP="00167F8E">
      <w:pPr>
        <w:pStyle w:val="Listenabsatz"/>
        <w:numPr>
          <w:ilvl w:val="1"/>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der Lagerung und</w:t>
      </w:r>
    </w:p>
    <w:p w:rsidR="00D57BEA" w:rsidRPr="00167F8E" w:rsidRDefault="00D57BEA" w:rsidP="00167F8E">
      <w:pPr>
        <w:pStyle w:val="Listenabsatz"/>
        <w:numPr>
          <w:ilvl w:val="1"/>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der sonstigen Verwendung, soweit diese für die genehmigte Lagerung erforderlich ist,</w:t>
      </w:r>
    </w:p>
    <w:p w:rsidR="00D57BEA" w:rsidRPr="00167F8E" w:rsidRDefault="00D57BEA" w:rsidP="00167F8E">
      <w:pPr>
        <w:pStyle w:val="Listenabsatz"/>
        <w:numPr>
          <w:ilvl w:val="0"/>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außerhalb des LasmA und innerhalb des Zaunes des LasmA, wie er sich aus dem Außenanlagen-Übersichtsplan LAB/073/100 in der Revision 5, übersandt mit E-Mail vom 12.08.2021, ergibt, der Umgang in Form</w:t>
      </w:r>
    </w:p>
    <w:p w:rsidR="00D57BEA" w:rsidRPr="00167F8E" w:rsidRDefault="00D57BEA" w:rsidP="00167F8E">
      <w:pPr>
        <w:pStyle w:val="Listenabsatz"/>
        <w:numPr>
          <w:ilvl w:val="1"/>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des für die Ein- und Auslagerung erforderlichen Transportes und</w:t>
      </w:r>
    </w:p>
    <w:p w:rsidR="00D57BEA" w:rsidRPr="00167F8E" w:rsidRDefault="00D57BEA" w:rsidP="00167F8E">
      <w:pPr>
        <w:pStyle w:val="Listenabsatz"/>
        <w:numPr>
          <w:ilvl w:val="1"/>
          <w:numId w:val="5"/>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lastRenderedPageBreak/>
        <w:t>der sonstigen Verwendung soweit diese für die Ein- und Auslagerung unmittelbar erforderlich ist,</w:t>
      </w:r>
    </w:p>
    <w:p w:rsidR="00D57BEA" w:rsidRPr="00167F8E" w:rsidRDefault="00D57BEA" w:rsidP="00167F8E">
      <w:pPr>
        <w:spacing w:line="360" w:lineRule="auto"/>
        <w:ind w:left="708"/>
        <w:jc w:val="both"/>
        <w:rPr>
          <w:rFonts w:ascii="Arial" w:hAnsi="Arial" w:cs="Arial"/>
          <w:sz w:val="24"/>
          <w:szCs w:val="24"/>
        </w:rPr>
      </w:pPr>
      <w:r w:rsidRPr="00167F8E">
        <w:rPr>
          <w:rFonts w:ascii="Arial" w:hAnsi="Arial" w:cs="Arial"/>
          <w:sz w:val="24"/>
          <w:szCs w:val="24"/>
        </w:rPr>
        <w:t>mit folgenden sonstigen radioaktiven Stoffen:</w:t>
      </w:r>
    </w:p>
    <w:p w:rsidR="00D57BEA" w:rsidRPr="00167F8E" w:rsidRDefault="00D57BEA" w:rsidP="00167F8E">
      <w:pPr>
        <w:pStyle w:val="Listenabsatz"/>
        <w:numPr>
          <w:ilvl w:val="1"/>
          <w:numId w:val="6"/>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radioaktiven Abfällen und Reststoffen aus dem Betrieb und dem Abbau des Kernkraftwerks Brunsbüttel (KKB) gemäß dessen Beschreibung in der ersten Stilllegungs- und Abbaugenehmigung vom 21.12.2018 (SAG),</w:t>
      </w:r>
    </w:p>
    <w:p w:rsidR="00D57BEA" w:rsidRPr="00167F8E" w:rsidRDefault="00D57BEA" w:rsidP="00167F8E">
      <w:pPr>
        <w:pStyle w:val="Listenabsatz"/>
        <w:numPr>
          <w:ilvl w:val="1"/>
          <w:numId w:val="6"/>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radioaktiven Abfällen und Reststoffen, die in der Transportbereitstellungshalle (TBH) I auf Grundlage deren Genehmigung vom 16.12.2014 und in der TBH II auf Grundlage deren Genehmigung vom 17.12.2014 gelagert werden durften,</w:t>
      </w:r>
    </w:p>
    <w:p w:rsidR="00D57BEA" w:rsidRPr="00167F8E" w:rsidRDefault="00D57BEA" w:rsidP="00167F8E">
      <w:pPr>
        <w:pStyle w:val="Listenabsatz"/>
        <w:numPr>
          <w:ilvl w:val="1"/>
          <w:numId w:val="6"/>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radioaktiven Abfällen, die bei Betrieb und Abbau</w:t>
      </w:r>
    </w:p>
    <w:p w:rsidR="00D57BEA" w:rsidRPr="00167F8E" w:rsidRDefault="00D57BEA" w:rsidP="00167F8E">
      <w:pPr>
        <w:pStyle w:val="Listenabsatz"/>
        <w:numPr>
          <w:ilvl w:val="2"/>
          <w:numId w:val="6"/>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der TBH I und TBH II sowie des Standortzwischenlagers Brunsbüttel (SZB) oder</w:t>
      </w:r>
    </w:p>
    <w:p w:rsidR="00D57BEA" w:rsidRPr="00167F8E" w:rsidRDefault="00D57BEA" w:rsidP="00167F8E">
      <w:pPr>
        <w:pStyle w:val="Listenabsatz"/>
        <w:numPr>
          <w:ilvl w:val="2"/>
          <w:numId w:val="6"/>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weiterer kerntechnischer Anlagen oder Einrichtungen am Standort des KKB, sofern dort mit radioaktiven Stoffen, die aus dem Betrieb und dem Abbau des KKB oder einer der drei vorgenannten kerntechnischen Anlagen stammen, umgegangen wird</w:t>
      </w:r>
    </w:p>
    <w:p w:rsidR="00D57BEA" w:rsidRPr="00167F8E" w:rsidRDefault="00D57BEA" w:rsidP="00167F8E">
      <w:pPr>
        <w:spacing w:line="360" w:lineRule="auto"/>
        <w:ind w:left="2148"/>
        <w:jc w:val="both"/>
        <w:rPr>
          <w:rFonts w:ascii="Arial" w:hAnsi="Arial" w:cs="Arial"/>
          <w:sz w:val="24"/>
          <w:szCs w:val="24"/>
        </w:rPr>
      </w:pPr>
      <w:r w:rsidRPr="00167F8E">
        <w:rPr>
          <w:rFonts w:ascii="Arial" w:hAnsi="Arial" w:cs="Arial"/>
          <w:sz w:val="24"/>
          <w:szCs w:val="24"/>
        </w:rPr>
        <w:t>angefallen sind oder anfallen, und</w:t>
      </w:r>
    </w:p>
    <w:p w:rsidR="00D57BEA" w:rsidRPr="00167F8E" w:rsidRDefault="00D57BEA" w:rsidP="00167F8E">
      <w:pPr>
        <w:spacing w:line="360" w:lineRule="auto"/>
        <w:ind w:left="2148"/>
        <w:jc w:val="both"/>
        <w:rPr>
          <w:rFonts w:ascii="Arial" w:hAnsi="Arial" w:cs="Arial"/>
          <w:sz w:val="24"/>
          <w:szCs w:val="24"/>
        </w:rPr>
      </w:pPr>
    </w:p>
    <w:p w:rsidR="00D57BEA" w:rsidRPr="00167F8E" w:rsidRDefault="00D57BEA" w:rsidP="00167F8E">
      <w:pPr>
        <w:spacing w:line="360" w:lineRule="auto"/>
        <w:ind w:left="708"/>
        <w:jc w:val="both"/>
        <w:rPr>
          <w:rFonts w:ascii="Arial" w:hAnsi="Arial" w:cs="Arial"/>
          <w:sz w:val="24"/>
          <w:szCs w:val="24"/>
        </w:rPr>
      </w:pPr>
      <w:r w:rsidRPr="00167F8E">
        <w:rPr>
          <w:rFonts w:ascii="Arial" w:hAnsi="Arial" w:cs="Arial"/>
          <w:sz w:val="24"/>
          <w:szCs w:val="24"/>
        </w:rPr>
        <w:t>b)</w:t>
      </w:r>
      <w:r w:rsidRPr="00167F8E">
        <w:rPr>
          <w:rFonts w:ascii="Arial" w:hAnsi="Arial" w:cs="Arial"/>
          <w:sz w:val="24"/>
          <w:szCs w:val="24"/>
        </w:rPr>
        <w:tab/>
      </w:r>
    </w:p>
    <w:p w:rsidR="00D57BEA" w:rsidRPr="00167F8E" w:rsidRDefault="00D57BEA" w:rsidP="00167F8E">
      <w:pPr>
        <w:spacing w:line="360" w:lineRule="auto"/>
        <w:ind w:left="708"/>
        <w:jc w:val="both"/>
        <w:rPr>
          <w:rFonts w:ascii="Arial" w:hAnsi="Arial" w:cs="Arial"/>
          <w:sz w:val="24"/>
          <w:szCs w:val="24"/>
        </w:rPr>
      </w:pPr>
      <w:r w:rsidRPr="00167F8E">
        <w:rPr>
          <w:rFonts w:ascii="Arial" w:hAnsi="Arial" w:cs="Arial"/>
          <w:sz w:val="24"/>
          <w:szCs w:val="24"/>
        </w:rPr>
        <w:t>innerhalb des Zaunes des LasmA, einschließlich des LasmA selbst, der Umgang in Form der Lagerung, Bearbeitung und sonstigen Verwendung, mit sonstigen radioaktiven Stoffen, soweit diese Stoffe nicht unter 1. a) fallen und der jeweilige Umgang für den unter 1. a) genehmigten Umgang erforderlich ist oder die sonstigen radioaktiven Stoffe bei diesem angefallen sind.</w:t>
      </w:r>
    </w:p>
    <w:p w:rsidR="00D57BEA" w:rsidRPr="00167F8E" w:rsidRDefault="00D57BEA" w:rsidP="00167F8E">
      <w:pPr>
        <w:spacing w:line="360" w:lineRule="auto"/>
        <w:ind w:left="708"/>
        <w:jc w:val="both"/>
        <w:rPr>
          <w:rFonts w:ascii="Arial" w:hAnsi="Arial" w:cs="Arial"/>
          <w:sz w:val="24"/>
          <w:szCs w:val="24"/>
        </w:rPr>
      </w:pPr>
    </w:p>
    <w:p w:rsidR="00D57BEA" w:rsidRPr="00167F8E" w:rsidRDefault="00D57BEA" w:rsidP="00167F8E">
      <w:pPr>
        <w:pStyle w:val="Listenabsatz"/>
        <w:numPr>
          <w:ilvl w:val="0"/>
          <w:numId w:val="4"/>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Die Gesamtaktivität der radioaktiven Stoffe, mit denen auf Basis dieser Genehmigung und in deren räumlichen Geltungsbereich umgegangen wird, darf 1 E+17 </w:t>
      </w:r>
      <w:proofErr w:type="spellStart"/>
      <w:r w:rsidRPr="00167F8E">
        <w:rPr>
          <w:rFonts w:ascii="Arial" w:hAnsi="Arial" w:cs="Arial"/>
          <w:sz w:val="24"/>
          <w:szCs w:val="24"/>
        </w:rPr>
        <w:t>Bq</w:t>
      </w:r>
      <w:proofErr w:type="spellEnd"/>
      <w:r w:rsidRPr="00167F8E">
        <w:rPr>
          <w:rFonts w:ascii="Arial" w:hAnsi="Arial" w:cs="Arial"/>
          <w:sz w:val="24"/>
          <w:szCs w:val="24"/>
        </w:rPr>
        <w:t xml:space="preserve"> nicht überschreiten.</w:t>
      </w:r>
    </w:p>
    <w:p w:rsidR="00D57BEA" w:rsidRPr="00167F8E" w:rsidRDefault="00D57BEA" w:rsidP="00167F8E">
      <w:pPr>
        <w:pStyle w:val="Listenabsatz"/>
        <w:numPr>
          <w:ilvl w:val="0"/>
          <w:numId w:val="4"/>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lastRenderedPageBreak/>
        <w:t>Die Genehmigung ist wie folgt befristet:</w:t>
      </w:r>
    </w:p>
    <w:p w:rsidR="00D57BEA" w:rsidRPr="00167F8E" w:rsidRDefault="00D57BEA" w:rsidP="00167F8E">
      <w:pPr>
        <w:pStyle w:val="Listenabsatz"/>
        <w:numPr>
          <w:ilvl w:val="0"/>
          <w:numId w:val="7"/>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Der genehmigte Umgang ist zulässig bis</w:t>
      </w:r>
    </w:p>
    <w:p w:rsidR="00D57BEA" w:rsidRPr="00167F8E" w:rsidRDefault="00D57BEA" w:rsidP="00167F8E">
      <w:pPr>
        <w:pStyle w:val="Listenabsatz"/>
        <w:numPr>
          <w:ilvl w:val="0"/>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zu dem Zeitpunkt nach Beginn des Umgangs mit radioaktiven Stoffen nach 1. a), zu dem keine radioaktiven Abfälle oder Reststoffe, mit denen gemäß 1. a) umgegangen werden darf, mehr im Lager vorhanden sind und wenn solche nicht mehr eingelagert werden müssen oder</w:t>
      </w:r>
    </w:p>
    <w:p w:rsidR="00D57BEA" w:rsidRPr="00167F8E" w:rsidRDefault="00D57BEA" w:rsidP="00167F8E">
      <w:pPr>
        <w:pStyle w:val="Listenabsatz"/>
        <w:numPr>
          <w:ilvl w:val="0"/>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zum Ablauf des 40. Jahres nach dem Schluss des Jahres, in dem diese Genehmigung erteilt wird; auf Antrag der Genehmigungsinhaberin kann diese Frist von der atomrechtlichen Genehmigungsbehörde</w:t>
      </w:r>
    </w:p>
    <w:p w:rsidR="00D57BEA" w:rsidRPr="00167F8E" w:rsidRDefault="00D57BEA" w:rsidP="00167F8E">
      <w:pPr>
        <w:pStyle w:val="Listenabsatz"/>
        <w:numPr>
          <w:ilvl w:val="1"/>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als wesentliche Änderung dieser Genehmigung verlängert werden oder</w:t>
      </w:r>
    </w:p>
    <w:p w:rsidR="00D57BEA" w:rsidRPr="00167F8E" w:rsidRDefault="00D57BEA" w:rsidP="00167F8E">
      <w:pPr>
        <w:pStyle w:val="Listenabsatz"/>
        <w:numPr>
          <w:ilvl w:val="1"/>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im Wege einer Zustimmung der atomrechtlichen Aufsichtsbehörde einmalig um bis zu zehn Jahre verlängert werden, wenn sichergestellt ist, dass die radioaktiven Stoffe, mit denen gemäß 1. a) umgegangen werden darf, in eine anderweitige Lagerung überführt werden können, die in den letzten zehn Jahren vor Antragstellung genehmigt worden ist. Dafür hat die Genehmigungsinhaberin bis spätestens ein Jahr vor Ablauf der zuvor genannten 40-Jahre-Frist</w:t>
      </w:r>
    </w:p>
    <w:p w:rsidR="00D57BEA" w:rsidRPr="00167F8E" w:rsidRDefault="00D57BEA" w:rsidP="00167F8E">
      <w:pPr>
        <w:pStyle w:val="Listenabsatz"/>
        <w:numPr>
          <w:ilvl w:val="2"/>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eine Sicherheitsüberprüfung vorzulegen, aus der sich ergibt, dass weiterhin gewährleistet ist, dass die Ausrüstungen vorhanden und die Maßnahmen getroffen sind, die nach dem Stand von Wissenschaft und Technik erforderlich sind, damit die Schutzvorschriften eingehalten werden und dass der erforderliche Schutz gegen Störmaßnahmen oder sonstige Einwirkungen Dritter (SEWD) gewährleistet ist und</w:t>
      </w:r>
    </w:p>
    <w:p w:rsidR="00D57BEA" w:rsidRPr="00167F8E" w:rsidRDefault="00D57BEA" w:rsidP="00167F8E">
      <w:pPr>
        <w:pStyle w:val="Listenabsatz"/>
        <w:numPr>
          <w:ilvl w:val="2"/>
          <w:numId w:val="8"/>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ein Konzept zur Überführung der radioaktiven Stoffe in diese anderweitige Lagerung vorzulegen.</w:t>
      </w:r>
    </w:p>
    <w:p w:rsidR="00D57BEA" w:rsidRPr="00167F8E" w:rsidRDefault="00D57BEA" w:rsidP="00167F8E">
      <w:pPr>
        <w:keepNext/>
        <w:spacing w:line="360" w:lineRule="auto"/>
        <w:ind w:left="1134"/>
        <w:jc w:val="both"/>
        <w:rPr>
          <w:rFonts w:ascii="Arial" w:hAnsi="Arial" w:cs="Arial"/>
          <w:sz w:val="24"/>
          <w:szCs w:val="24"/>
        </w:rPr>
      </w:pPr>
      <w:r w:rsidRPr="00167F8E">
        <w:rPr>
          <w:rFonts w:ascii="Arial" w:hAnsi="Arial" w:cs="Arial"/>
          <w:sz w:val="24"/>
          <w:szCs w:val="24"/>
        </w:rPr>
        <w:lastRenderedPageBreak/>
        <w:t>Maßgeblich ist die früher endende Frist.</w:t>
      </w:r>
    </w:p>
    <w:p w:rsidR="00D57BEA" w:rsidRPr="00167F8E" w:rsidRDefault="00D57BEA" w:rsidP="00167F8E">
      <w:pPr>
        <w:keepNext/>
        <w:spacing w:line="360" w:lineRule="auto"/>
        <w:ind w:left="1134"/>
        <w:jc w:val="both"/>
        <w:rPr>
          <w:rFonts w:ascii="Arial" w:hAnsi="Arial" w:cs="Arial"/>
          <w:sz w:val="24"/>
          <w:szCs w:val="24"/>
        </w:rPr>
      </w:pPr>
    </w:p>
    <w:p w:rsidR="00D57BEA" w:rsidRPr="00167F8E" w:rsidRDefault="00D57BEA" w:rsidP="00167F8E">
      <w:pPr>
        <w:pStyle w:val="Listenabsatz"/>
        <w:keepNext/>
        <w:numPr>
          <w:ilvl w:val="0"/>
          <w:numId w:val="7"/>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Sofern das LasmA oder die Flächen innerhalb des Zaunes des LasmA freigegeben werden sollen, ist der unter 1. b) genehmigte Umgang über die maßgebliche Frist aus 3. a) hinaus zulässig, soweit er zur Erlangung einer Freigabe des LasmA oder der Flächen innerhalb des Zaunes des LasmA oder zur Umsetzung der Anforderungen aus etwaigen behördlichen Bestimmungen zur Freigabe erforderlich ist, bis zur Erlangung dieser Freigabe oder Umsetzung der behördlichen Bestimmungen.</w:t>
      </w:r>
    </w:p>
    <w:p w:rsidR="00D57BEA" w:rsidRPr="00167F8E" w:rsidRDefault="00D57BEA" w:rsidP="00167F8E">
      <w:pPr>
        <w:pStyle w:val="Listenabsatz"/>
        <w:numPr>
          <w:ilvl w:val="0"/>
          <w:numId w:val="4"/>
        </w:numPr>
        <w:overflowPunct/>
        <w:autoSpaceDE/>
        <w:autoSpaceDN/>
        <w:adjustRightInd/>
        <w:spacing w:after="200" w:line="360" w:lineRule="auto"/>
        <w:contextualSpacing w:val="0"/>
        <w:jc w:val="both"/>
        <w:textAlignment w:val="auto"/>
        <w:rPr>
          <w:rFonts w:ascii="Arial" w:hAnsi="Arial" w:cs="Arial"/>
          <w:sz w:val="24"/>
          <w:szCs w:val="24"/>
        </w:rPr>
      </w:pPr>
      <w:r w:rsidRPr="00167F8E">
        <w:rPr>
          <w:rFonts w:ascii="Arial" w:hAnsi="Arial" w:cs="Arial"/>
          <w:sz w:val="24"/>
          <w:szCs w:val="24"/>
        </w:rPr>
        <w:t>Im Übrigen wird der Antrag abgelehnt.</w:t>
      </w:r>
    </w:p>
    <w:p w:rsidR="00D57BEA" w:rsidRPr="00167F8E" w:rsidRDefault="00D57BEA" w:rsidP="00167F8E">
      <w:pPr>
        <w:pStyle w:val="Listenabsatz"/>
        <w:spacing w:line="360" w:lineRule="auto"/>
        <w:ind w:left="360"/>
        <w:jc w:val="both"/>
        <w:rPr>
          <w:rFonts w:ascii="Arial" w:hAnsi="Arial" w:cs="Arial"/>
          <w:sz w:val="24"/>
          <w:szCs w:val="24"/>
        </w:rPr>
      </w:pPr>
      <w:r w:rsidRPr="00167F8E">
        <w:rPr>
          <w:rFonts w:ascii="Arial" w:hAnsi="Arial" w:cs="Arial"/>
          <w:sz w:val="24"/>
          <w:szCs w:val="24"/>
        </w:rPr>
        <w:t>Soweit die Antragstellerin weitergehende Rechte beantragt hat, wird der Antrag abgelehnt. Dies gilt insbesondere für die beantragten höheren Werte für die Gesamtaktivität der radioaktiven Stoffe, mit denen auf Basis dieser Genehmigung umgegangen werden darf, sowie für einen unbefristeten Umgang mit radioaktiven Stoffen.</w:t>
      </w:r>
    </w:p>
    <w:p w:rsidR="00D57BEA" w:rsidRPr="00167F8E" w:rsidRDefault="00D57BEA" w:rsidP="00167F8E">
      <w:pPr>
        <w:pStyle w:val="Listenabsatz"/>
        <w:spacing w:line="360" w:lineRule="auto"/>
        <w:ind w:left="360"/>
        <w:jc w:val="both"/>
        <w:rPr>
          <w:rFonts w:ascii="Arial" w:hAnsi="Arial" w:cs="Arial"/>
          <w:sz w:val="24"/>
          <w:szCs w:val="24"/>
        </w:rPr>
      </w:pPr>
    </w:p>
    <w:p w:rsidR="00D57BEA" w:rsidRPr="00167F8E" w:rsidRDefault="00D57BEA" w:rsidP="00167F8E">
      <w:pPr>
        <w:pStyle w:val="berschrift2"/>
        <w:keepLines/>
        <w:numPr>
          <w:ilvl w:val="1"/>
          <w:numId w:val="3"/>
        </w:numPr>
        <w:tabs>
          <w:tab w:val="clear" w:pos="284"/>
          <w:tab w:val="clear" w:pos="5104"/>
          <w:tab w:val="clear" w:pos="6237"/>
        </w:tabs>
        <w:overflowPunct/>
        <w:autoSpaceDE/>
        <w:autoSpaceDN/>
        <w:adjustRightInd/>
        <w:spacing w:before="120" w:after="120" w:line="360" w:lineRule="auto"/>
        <w:ind w:left="0"/>
        <w:jc w:val="both"/>
        <w:textAlignment w:val="auto"/>
        <w:rPr>
          <w:rFonts w:cs="Arial"/>
          <w:color w:val="auto"/>
          <w:szCs w:val="24"/>
        </w:rPr>
      </w:pPr>
      <w:bookmarkStart w:id="4" w:name="_Toc113975512"/>
      <w:r w:rsidRPr="00167F8E">
        <w:rPr>
          <w:rFonts w:cs="Arial"/>
          <w:color w:val="auto"/>
          <w:szCs w:val="24"/>
        </w:rPr>
        <w:t>Umfang, Abgrenzung und Konkretisierung des Genehmigungsgegenstandes</w:t>
      </w:r>
      <w:bookmarkEnd w:id="4"/>
    </w:p>
    <w:p w:rsidR="00D57BEA" w:rsidRPr="00167F8E" w:rsidRDefault="00D57BEA" w:rsidP="00167F8E">
      <w:pPr>
        <w:pStyle w:val="berschrift3"/>
        <w:numPr>
          <w:ilvl w:val="2"/>
          <w:numId w:val="3"/>
        </w:numPr>
        <w:overflowPunct/>
        <w:autoSpaceDE/>
        <w:autoSpaceDN/>
        <w:adjustRightInd/>
        <w:spacing w:before="120" w:after="120" w:line="360" w:lineRule="auto"/>
        <w:ind w:left="0" w:firstLine="0"/>
        <w:jc w:val="both"/>
        <w:textAlignment w:val="auto"/>
        <w:rPr>
          <w:rFonts w:ascii="Arial" w:hAnsi="Arial" w:cs="Arial"/>
          <w:color w:val="auto"/>
        </w:rPr>
      </w:pPr>
      <w:bookmarkStart w:id="5" w:name="_Toc113975513"/>
      <w:r w:rsidRPr="00167F8E">
        <w:rPr>
          <w:rFonts w:ascii="Arial" w:hAnsi="Arial" w:cs="Arial"/>
          <w:color w:val="auto"/>
        </w:rPr>
        <w:t>Antragstellerin und Genehmigungsverfahren</w:t>
      </w:r>
      <w:bookmarkEnd w:id="5"/>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 xml:space="preserve">Antragstellerin und Genehmigungsinhaberin ist die Kernkraftwerk Brunsbüttel GmbH &amp; Co. </w:t>
      </w:r>
      <w:proofErr w:type="spellStart"/>
      <w:r w:rsidRPr="00167F8E">
        <w:rPr>
          <w:rFonts w:ascii="Arial" w:hAnsi="Arial" w:cs="Arial"/>
          <w:sz w:val="24"/>
          <w:szCs w:val="24"/>
        </w:rPr>
        <w:t>oHG</w:t>
      </w:r>
      <w:proofErr w:type="spellEnd"/>
      <w:r w:rsidRPr="00167F8E">
        <w:rPr>
          <w:rFonts w:ascii="Arial" w:hAnsi="Arial" w:cs="Arial"/>
          <w:sz w:val="24"/>
          <w:szCs w:val="24"/>
        </w:rPr>
        <w:t>, Überseering 12, 22297 Hamburg. Sie ist Inhaberin einer Kernanlage.</w:t>
      </w:r>
    </w:p>
    <w:p w:rsidR="00D57BEA" w:rsidRPr="00167F8E" w:rsidRDefault="00D57BEA" w:rsidP="00167F8E">
      <w:pPr>
        <w:pStyle w:val="berschrift3"/>
        <w:numPr>
          <w:ilvl w:val="2"/>
          <w:numId w:val="3"/>
        </w:numPr>
        <w:overflowPunct/>
        <w:autoSpaceDE/>
        <w:autoSpaceDN/>
        <w:adjustRightInd/>
        <w:spacing w:before="120" w:after="120" w:line="360" w:lineRule="auto"/>
        <w:ind w:left="0" w:firstLine="0"/>
        <w:jc w:val="both"/>
        <w:textAlignment w:val="auto"/>
        <w:rPr>
          <w:rFonts w:ascii="Arial" w:hAnsi="Arial" w:cs="Arial"/>
          <w:color w:val="auto"/>
        </w:rPr>
      </w:pPr>
      <w:bookmarkStart w:id="6" w:name="_Toc113975514"/>
      <w:r w:rsidRPr="00167F8E">
        <w:rPr>
          <w:rFonts w:ascii="Arial" w:hAnsi="Arial" w:cs="Arial"/>
          <w:color w:val="auto"/>
        </w:rPr>
        <w:t>Entscheidung anderer Behörden</w:t>
      </w:r>
      <w:bookmarkEnd w:id="6"/>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Diese Genehmigung ergeht unbeschadet der Entscheidungen anderer Behörden, die für die Zulassung anderer als der hier geregelten Maßnahmen im Zusammenhang mit der geplanten Errichtung und dem Betrieb des LasmA zuständig sind. Insbesondere ist mit dieser Entscheidung keine Genehmigung nach der Landesbauordnung (LBO) verbunden.</w:t>
      </w:r>
    </w:p>
    <w:p w:rsidR="00D57BEA" w:rsidRPr="00167F8E" w:rsidRDefault="00D57BEA" w:rsidP="00167F8E">
      <w:pPr>
        <w:pStyle w:val="berschrift3"/>
        <w:numPr>
          <w:ilvl w:val="2"/>
          <w:numId w:val="3"/>
        </w:numPr>
        <w:overflowPunct/>
        <w:autoSpaceDE/>
        <w:autoSpaceDN/>
        <w:adjustRightInd/>
        <w:spacing w:before="120" w:after="120" w:line="360" w:lineRule="auto"/>
        <w:ind w:left="0" w:firstLine="0"/>
        <w:jc w:val="both"/>
        <w:textAlignment w:val="auto"/>
        <w:rPr>
          <w:rFonts w:ascii="Arial" w:hAnsi="Arial" w:cs="Arial"/>
          <w:color w:val="auto"/>
        </w:rPr>
      </w:pPr>
      <w:bookmarkStart w:id="7" w:name="_Toc113975515"/>
      <w:r w:rsidRPr="00167F8E">
        <w:rPr>
          <w:rFonts w:ascii="Arial" w:hAnsi="Arial" w:cs="Arial"/>
          <w:color w:val="auto"/>
        </w:rPr>
        <w:t>Geltende Unterlagen</w:t>
      </w:r>
      <w:bookmarkEnd w:id="7"/>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 xml:space="preserve">Die unter B.I aufgeführten Unterlagen nebst ihren etwaigen Anlagen sind Bestandteil dieser Genehmigung, soweit sich aus diesem Bescheid nicht ausdrücklich etwas </w:t>
      </w:r>
      <w:proofErr w:type="gramStart"/>
      <w:r w:rsidRPr="00167F8E">
        <w:rPr>
          <w:rFonts w:ascii="Arial" w:hAnsi="Arial" w:cs="Arial"/>
          <w:sz w:val="24"/>
          <w:szCs w:val="24"/>
        </w:rPr>
        <w:t>anderes</w:t>
      </w:r>
      <w:proofErr w:type="gramEnd"/>
      <w:r w:rsidRPr="00167F8E">
        <w:rPr>
          <w:rFonts w:ascii="Arial" w:hAnsi="Arial" w:cs="Arial"/>
          <w:sz w:val="24"/>
          <w:szCs w:val="24"/>
        </w:rPr>
        <w:t xml:space="preserve"> ergibt. Darin getroffene Festlegungen sind verbindlich, soweit sich aus diesem Bescheid nicht etwas </w:t>
      </w:r>
      <w:proofErr w:type="gramStart"/>
      <w:r w:rsidRPr="00167F8E">
        <w:rPr>
          <w:rFonts w:ascii="Arial" w:hAnsi="Arial" w:cs="Arial"/>
          <w:sz w:val="24"/>
          <w:szCs w:val="24"/>
        </w:rPr>
        <w:t>anderes</w:t>
      </w:r>
      <w:proofErr w:type="gramEnd"/>
      <w:r w:rsidRPr="00167F8E">
        <w:rPr>
          <w:rFonts w:ascii="Arial" w:hAnsi="Arial" w:cs="Arial"/>
          <w:sz w:val="24"/>
          <w:szCs w:val="24"/>
        </w:rPr>
        <w:t xml:space="preserve"> ergibt.</w:t>
      </w:r>
    </w:p>
    <w:p w:rsidR="00D57BEA" w:rsidRPr="00167F8E" w:rsidRDefault="00D57BEA" w:rsidP="00167F8E">
      <w:pPr>
        <w:pStyle w:val="berschrift3"/>
        <w:numPr>
          <w:ilvl w:val="2"/>
          <w:numId w:val="3"/>
        </w:numPr>
        <w:overflowPunct/>
        <w:autoSpaceDE/>
        <w:autoSpaceDN/>
        <w:adjustRightInd/>
        <w:spacing w:before="120" w:after="120" w:line="360" w:lineRule="auto"/>
        <w:ind w:left="0" w:firstLine="0"/>
        <w:jc w:val="both"/>
        <w:textAlignment w:val="auto"/>
        <w:rPr>
          <w:rFonts w:ascii="Arial" w:hAnsi="Arial" w:cs="Arial"/>
          <w:color w:val="auto"/>
        </w:rPr>
      </w:pPr>
      <w:bookmarkStart w:id="8" w:name="_Toc113975516"/>
      <w:r w:rsidRPr="00167F8E">
        <w:rPr>
          <w:rFonts w:ascii="Arial" w:hAnsi="Arial" w:cs="Arial"/>
          <w:color w:val="auto"/>
        </w:rPr>
        <w:lastRenderedPageBreak/>
        <w:t>Deckungsvorsorge</w:t>
      </w:r>
      <w:bookmarkEnd w:id="8"/>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 xml:space="preserve">Die von der Antragstellerin zu treffende Vorsorge für die Erfüllung gesetzlicher Schadensersatzverpflichtungen im Sinne des § 177 Satz 1 Strahlenschutzgesetz (StrlSchG) i. V. m. § 13 Abs. 1, 2 und 5 Atomgesetz (AtG) und § 11 Abs. 1 Atomrechtlichen Deckungsvorsorge-Verordnung (AtDeckV), die sich für die Antragstellerin als Inhaberin des LasmA nach § 176 StrlSchG i. V. m. § 25 AtG und dem Übereinkommen vom 29.07.1960 über die Haftung gegenüber Dritten auf dem Gebiet der Kernenergie in der Fassung des Zusatzprotokolls vom 28.01.1964, des Protokolls vom 16.11.1982 und des Änderungsprotokolls vom 12.02.2004 (Pariser Übereinkommen </w:t>
      </w:r>
      <w:r w:rsidRPr="00167F8E">
        <w:rPr>
          <w:rFonts w:ascii="Arial" w:hAnsi="Arial" w:cs="Arial"/>
          <w:sz w:val="24"/>
          <w:szCs w:val="24"/>
        </w:rPr>
        <w:sym w:font="Symbol" w:char="F02D"/>
      </w:r>
      <w:r w:rsidRPr="00167F8E">
        <w:rPr>
          <w:rFonts w:ascii="Arial" w:hAnsi="Arial" w:cs="Arial"/>
          <w:sz w:val="24"/>
          <w:szCs w:val="24"/>
        </w:rPr>
        <w:t xml:space="preserve"> PÜ) infolge eines nuklearen Ereignisses ergeben, wird mit einer Deckungssumme in Höhe von</w:t>
      </w:r>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ab/>
        <w:t>80.000.000,00 € (in Worten: achtzig Millionen Euro)</w:t>
      </w:r>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festgesetzt.</w:t>
      </w:r>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Die Deckungsvorsorge ist durch eine Haftpflichtversicherung gemäß § 2 AtDeckV oder eine sonstige finanzielle Sicherheit gemäß § 3 AtDeckV zu erbringen.</w:t>
      </w:r>
    </w:p>
    <w:p w:rsidR="00D57BEA" w:rsidRPr="00167F8E" w:rsidRDefault="00D57BEA" w:rsidP="00167F8E">
      <w:pPr>
        <w:pStyle w:val="Default"/>
        <w:spacing w:line="360" w:lineRule="auto"/>
        <w:jc w:val="both"/>
        <w:rPr>
          <w:color w:val="auto"/>
        </w:rPr>
      </w:pPr>
      <w:r w:rsidRPr="00167F8E">
        <w:rPr>
          <w:color w:val="auto"/>
        </w:rPr>
        <w:t>Eine Neufestsetzung des Umfangs der Deckungsvorsorge bleibt insbesondere vorbehalten für den Fall, dass</w:t>
      </w:r>
    </w:p>
    <w:p w:rsidR="00D57BEA" w:rsidRPr="00167F8E" w:rsidRDefault="00D57BEA" w:rsidP="00167F8E">
      <w:pPr>
        <w:pStyle w:val="Default"/>
        <w:numPr>
          <w:ilvl w:val="0"/>
          <w:numId w:val="9"/>
        </w:numPr>
        <w:spacing w:line="360" w:lineRule="auto"/>
        <w:jc w:val="both"/>
        <w:rPr>
          <w:color w:val="auto"/>
        </w:rPr>
      </w:pPr>
      <w:r w:rsidRPr="00167F8E">
        <w:rPr>
          <w:color w:val="auto"/>
        </w:rPr>
        <w:t>eine erhebliche Änderung der dieser Festsetzung zugrundeliegenden Verhältnisse eintritt,</w:t>
      </w:r>
    </w:p>
    <w:p w:rsidR="00D57BEA" w:rsidRPr="00167F8E" w:rsidRDefault="00D57BEA" w:rsidP="00167F8E">
      <w:pPr>
        <w:pStyle w:val="Default"/>
        <w:numPr>
          <w:ilvl w:val="0"/>
          <w:numId w:val="9"/>
        </w:numPr>
        <w:spacing w:line="360" w:lineRule="auto"/>
        <w:jc w:val="both"/>
        <w:rPr>
          <w:color w:val="auto"/>
        </w:rPr>
      </w:pPr>
      <w:r w:rsidRPr="00167F8E">
        <w:rPr>
          <w:color w:val="auto"/>
        </w:rPr>
        <w:t>bei Eintritt einer Verschärfung der gesetzlichen Haftung die hierfür bestehende, vorläufige Deckung außer Kraft tritt.</w:t>
      </w:r>
      <w:bookmarkStart w:id="9" w:name="_Toc113975773"/>
    </w:p>
    <w:p w:rsidR="00D57BEA" w:rsidRPr="00167F8E" w:rsidRDefault="00D57BEA" w:rsidP="00167F8E">
      <w:pPr>
        <w:pStyle w:val="Default"/>
        <w:spacing w:line="360" w:lineRule="auto"/>
        <w:ind w:left="720"/>
        <w:jc w:val="both"/>
        <w:rPr>
          <w:color w:val="auto"/>
        </w:rPr>
      </w:pPr>
    </w:p>
    <w:p w:rsidR="00D57BEA" w:rsidRPr="00167F8E" w:rsidRDefault="00D57BEA" w:rsidP="00167F8E">
      <w:pPr>
        <w:pStyle w:val="Default"/>
        <w:spacing w:line="360" w:lineRule="auto"/>
        <w:jc w:val="both"/>
        <w:rPr>
          <w:b/>
          <w:color w:val="auto"/>
        </w:rPr>
      </w:pPr>
      <w:r w:rsidRPr="00167F8E">
        <w:rPr>
          <w:b/>
          <w:color w:val="auto"/>
        </w:rPr>
        <w:t>B.</w:t>
      </w:r>
      <w:r w:rsidRPr="00167F8E">
        <w:rPr>
          <w:b/>
        </w:rPr>
        <w:t xml:space="preserve"> Rechtsbehelfsbelehrung</w:t>
      </w:r>
      <w:bookmarkEnd w:id="9"/>
    </w:p>
    <w:p w:rsidR="00D57BEA" w:rsidRPr="00167F8E" w:rsidRDefault="00D57BEA" w:rsidP="00167F8E">
      <w:pPr>
        <w:spacing w:line="360" w:lineRule="auto"/>
        <w:jc w:val="both"/>
        <w:rPr>
          <w:rFonts w:ascii="Arial" w:hAnsi="Arial" w:cs="Arial"/>
          <w:sz w:val="24"/>
          <w:szCs w:val="24"/>
        </w:rPr>
      </w:pPr>
      <w:r w:rsidRPr="00167F8E">
        <w:rPr>
          <w:rFonts w:ascii="Arial" w:hAnsi="Arial" w:cs="Arial"/>
          <w:sz w:val="24"/>
          <w:szCs w:val="24"/>
        </w:rPr>
        <w:t xml:space="preserve">Gegen diesen Bescheid kann innerhalb eines Monats nach Bekanntgabe bei dem Schleswig-Holsteinischen Oberverwaltungsgericht, </w:t>
      </w:r>
      <w:proofErr w:type="spellStart"/>
      <w:r w:rsidRPr="00167F8E">
        <w:rPr>
          <w:rFonts w:ascii="Arial" w:hAnsi="Arial" w:cs="Arial"/>
          <w:sz w:val="24"/>
          <w:szCs w:val="24"/>
        </w:rPr>
        <w:t>Brockdorff</w:t>
      </w:r>
      <w:proofErr w:type="spellEnd"/>
      <w:r w:rsidRPr="00167F8E">
        <w:rPr>
          <w:rFonts w:ascii="Arial" w:hAnsi="Arial" w:cs="Arial"/>
          <w:sz w:val="24"/>
          <w:szCs w:val="24"/>
        </w:rPr>
        <w:t>-Rantzau-Straße 13, 24837 Schleswig, schriftlich oder in elektronischer Form Klage erhoben werden.</w:t>
      </w:r>
    </w:p>
    <w:p w:rsidR="00250C80" w:rsidRPr="00167F8E" w:rsidRDefault="00250C80" w:rsidP="00167F8E">
      <w:pPr>
        <w:spacing w:line="360" w:lineRule="auto"/>
        <w:jc w:val="both"/>
        <w:rPr>
          <w:rFonts w:ascii="Arial" w:hAnsi="Arial" w:cs="Arial"/>
          <w:sz w:val="24"/>
          <w:szCs w:val="24"/>
        </w:rPr>
      </w:pPr>
    </w:p>
    <w:p w:rsidR="00D57BEA" w:rsidRPr="00167F8E" w:rsidRDefault="00D57BEA" w:rsidP="00167F8E">
      <w:pPr>
        <w:spacing w:line="360" w:lineRule="auto"/>
        <w:jc w:val="both"/>
        <w:rPr>
          <w:rFonts w:ascii="Arial" w:hAnsi="Arial" w:cs="Arial"/>
          <w:b/>
          <w:sz w:val="24"/>
          <w:szCs w:val="24"/>
        </w:rPr>
      </w:pPr>
      <w:r w:rsidRPr="00167F8E">
        <w:rPr>
          <w:rFonts w:ascii="Arial" w:hAnsi="Arial" w:cs="Arial"/>
          <w:b/>
          <w:sz w:val="24"/>
          <w:szCs w:val="24"/>
        </w:rPr>
        <w:t>Anlage 2: Baugenehmigung</w:t>
      </w:r>
    </w:p>
    <w:p w:rsidR="00D57BEA" w:rsidRPr="00167F8E" w:rsidRDefault="00D57BEA" w:rsidP="00167F8E">
      <w:pPr>
        <w:spacing w:line="360" w:lineRule="auto"/>
        <w:jc w:val="both"/>
        <w:rPr>
          <w:rFonts w:ascii="Arial" w:hAnsi="Arial" w:cs="Arial"/>
          <w:sz w:val="24"/>
          <w:szCs w:val="24"/>
        </w:rPr>
      </w:pPr>
    </w:p>
    <w:p w:rsidR="00D57BEA" w:rsidRPr="00167F8E" w:rsidRDefault="00D57BEA" w:rsidP="00167F8E">
      <w:pPr>
        <w:spacing w:line="360" w:lineRule="auto"/>
        <w:jc w:val="both"/>
        <w:rPr>
          <w:rFonts w:ascii="Arial" w:hAnsi="Arial" w:cs="Arial"/>
          <w:color w:val="000000"/>
          <w:sz w:val="24"/>
          <w:szCs w:val="24"/>
        </w:rPr>
      </w:pPr>
      <w:r w:rsidRPr="00167F8E">
        <w:rPr>
          <w:rFonts w:ascii="Arial" w:hAnsi="Arial" w:cs="Arial"/>
          <w:color w:val="000000"/>
          <w:sz w:val="24"/>
          <w:szCs w:val="24"/>
        </w:rPr>
        <w:t xml:space="preserve">Auf Ihren Antrag vom 07.07.2014, eingegangen am 08.07.2014, wird, unbeschadet privater Rechte Dritter, gern. § 73 der Landesbauordnung Schleswig-Holstein (LBO) vom 22. Januar 2009 (GVOBI </w:t>
      </w:r>
      <w:proofErr w:type="spellStart"/>
      <w:r w:rsidRPr="00167F8E">
        <w:rPr>
          <w:rFonts w:ascii="Arial" w:hAnsi="Arial" w:cs="Arial"/>
          <w:color w:val="000000"/>
          <w:sz w:val="24"/>
          <w:szCs w:val="24"/>
        </w:rPr>
        <w:t>Schl</w:t>
      </w:r>
      <w:proofErr w:type="spellEnd"/>
      <w:r w:rsidRPr="00167F8E">
        <w:rPr>
          <w:rFonts w:ascii="Arial" w:hAnsi="Arial" w:cs="Arial"/>
          <w:color w:val="000000"/>
          <w:sz w:val="24"/>
          <w:szCs w:val="24"/>
        </w:rPr>
        <w:t>.-H. Seite 6), und § 11 des Landesnaturschutzgesetzes (</w:t>
      </w:r>
      <w:proofErr w:type="spellStart"/>
      <w:r w:rsidRPr="00167F8E">
        <w:rPr>
          <w:rFonts w:ascii="Arial" w:hAnsi="Arial" w:cs="Arial"/>
          <w:color w:val="000000"/>
          <w:sz w:val="24"/>
          <w:szCs w:val="24"/>
        </w:rPr>
        <w:t>LNatschG</w:t>
      </w:r>
      <w:proofErr w:type="spellEnd"/>
      <w:r w:rsidRPr="00167F8E">
        <w:rPr>
          <w:rFonts w:ascii="Arial" w:hAnsi="Arial" w:cs="Arial"/>
          <w:color w:val="000000"/>
          <w:sz w:val="24"/>
          <w:szCs w:val="24"/>
        </w:rPr>
        <w:t xml:space="preserve">) vom 24.02.2010 (GVOBI. </w:t>
      </w:r>
      <w:proofErr w:type="spellStart"/>
      <w:r w:rsidRPr="00167F8E">
        <w:rPr>
          <w:rFonts w:ascii="Arial" w:hAnsi="Arial" w:cs="Arial"/>
          <w:color w:val="000000"/>
          <w:sz w:val="24"/>
          <w:szCs w:val="24"/>
        </w:rPr>
        <w:t>Schl</w:t>
      </w:r>
      <w:proofErr w:type="spellEnd"/>
      <w:r w:rsidRPr="00167F8E">
        <w:rPr>
          <w:rFonts w:ascii="Arial" w:hAnsi="Arial" w:cs="Arial"/>
          <w:color w:val="000000"/>
          <w:sz w:val="24"/>
          <w:szCs w:val="24"/>
        </w:rPr>
        <w:t xml:space="preserve">.-H. 2010 S. 301) in der zurzeit jeweils geltenden Fassung die Genehmigung erteilt, auf dem </w:t>
      </w:r>
      <w:r w:rsidRPr="00167F8E">
        <w:rPr>
          <w:rFonts w:ascii="Arial" w:hAnsi="Arial" w:cs="Arial"/>
          <w:color w:val="000000"/>
          <w:sz w:val="24"/>
          <w:szCs w:val="24"/>
        </w:rPr>
        <w:lastRenderedPageBreak/>
        <w:t>genannten Grundstück das/die in den beiliegenden zum Antrag gehörenden Bauvorlagen (Anlagen) dargestellte Bauvorhaben/ Nutzungsänderung auszuführen. Die unten aufgeführten Bedingungen und Auflagen sind Bestandteil der Baugenehmigung.</w:t>
      </w:r>
    </w:p>
    <w:p w:rsidR="00D57BEA" w:rsidRPr="00167F8E" w:rsidRDefault="00D57BEA" w:rsidP="00167F8E">
      <w:pPr>
        <w:spacing w:line="360" w:lineRule="auto"/>
        <w:jc w:val="both"/>
        <w:rPr>
          <w:rFonts w:ascii="Arial" w:hAnsi="Arial" w:cs="Arial"/>
          <w:color w:val="000000"/>
          <w:sz w:val="24"/>
          <w:szCs w:val="24"/>
        </w:rPr>
      </w:pPr>
    </w:p>
    <w:p w:rsidR="00D57BEA" w:rsidRPr="00167F8E" w:rsidRDefault="00D57BEA" w:rsidP="00167F8E">
      <w:pPr>
        <w:spacing w:line="360" w:lineRule="auto"/>
        <w:jc w:val="both"/>
        <w:rPr>
          <w:rFonts w:ascii="Arial" w:hAnsi="Arial" w:cs="Arial"/>
          <w:sz w:val="24"/>
          <w:szCs w:val="24"/>
        </w:rPr>
      </w:pPr>
      <w:r w:rsidRPr="00167F8E">
        <w:rPr>
          <w:rFonts w:ascii="Arial" w:hAnsi="Arial" w:cs="Arial"/>
          <w:noProof/>
          <w:sz w:val="24"/>
          <w:szCs w:val="24"/>
        </w:rPr>
        <w:drawing>
          <wp:inline distT="0" distB="0" distL="0" distR="0" wp14:anchorId="57469B14" wp14:editId="4AB8348B">
            <wp:extent cx="5760720" cy="50241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024120"/>
                    </a:xfrm>
                    <a:prstGeom prst="rect">
                      <a:avLst/>
                    </a:prstGeom>
                  </pic:spPr>
                </pic:pic>
              </a:graphicData>
            </a:graphic>
          </wp:inline>
        </w:drawing>
      </w:r>
    </w:p>
    <w:p w:rsidR="00D57BEA" w:rsidRPr="00167F8E" w:rsidRDefault="00D57BEA" w:rsidP="00167F8E">
      <w:pPr>
        <w:spacing w:line="360" w:lineRule="auto"/>
        <w:jc w:val="both"/>
        <w:rPr>
          <w:rFonts w:ascii="Arial" w:hAnsi="Arial" w:cs="Arial"/>
          <w:b/>
          <w:bCs/>
          <w:color w:val="000000"/>
          <w:sz w:val="24"/>
          <w:szCs w:val="24"/>
        </w:rPr>
      </w:pPr>
      <w:r w:rsidRPr="00167F8E">
        <w:rPr>
          <w:rFonts w:ascii="Arial" w:hAnsi="Arial" w:cs="Arial"/>
          <w:b/>
          <w:bCs/>
          <w:color w:val="000000"/>
          <w:sz w:val="24"/>
          <w:szCs w:val="24"/>
        </w:rPr>
        <w:t xml:space="preserve">VII. Rechtsbehelfsbelehrung: </w:t>
      </w:r>
    </w:p>
    <w:p w:rsidR="00D57BEA" w:rsidRPr="00167F8E" w:rsidRDefault="00D57BEA" w:rsidP="00167F8E">
      <w:pPr>
        <w:spacing w:line="360" w:lineRule="auto"/>
        <w:jc w:val="both"/>
        <w:rPr>
          <w:rFonts w:ascii="Arial" w:hAnsi="Arial" w:cs="Arial"/>
          <w:b/>
          <w:bCs/>
          <w:color w:val="000000"/>
          <w:sz w:val="24"/>
          <w:szCs w:val="24"/>
        </w:rPr>
      </w:pPr>
    </w:p>
    <w:p w:rsidR="00D57BEA" w:rsidRPr="00167F8E" w:rsidRDefault="00D57BEA" w:rsidP="00167F8E">
      <w:pPr>
        <w:spacing w:line="360" w:lineRule="auto"/>
        <w:jc w:val="both"/>
        <w:rPr>
          <w:rFonts w:ascii="Arial" w:hAnsi="Arial" w:cs="Arial"/>
          <w:color w:val="000000"/>
          <w:sz w:val="24"/>
          <w:szCs w:val="24"/>
        </w:rPr>
      </w:pPr>
      <w:r w:rsidRPr="00167F8E">
        <w:rPr>
          <w:rFonts w:ascii="Arial" w:hAnsi="Arial" w:cs="Arial"/>
          <w:color w:val="000000"/>
          <w:sz w:val="24"/>
          <w:szCs w:val="24"/>
        </w:rPr>
        <w:t>Gegen diesen Bescheid oder die Gebührenfestsetzung oder einen von beiden kann innerhalb eines Monats nach der Bekanntgabe Widerspruch erhoben werden. Der Widerspruch ist schriftlich oder zur Niederschrift bei der Stadt Brunsbüttel, Der Bürgermeister - Untere Bauaufsichtsbehörde -, Albert-Schweitzer-Straße 9, 25541 Brunsbüttel, einzulegen.</w:t>
      </w:r>
    </w:p>
    <w:p w:rsidR="00D57BEA" w:rsidRPr="00167F8E" w:rsidRDefault="00D57BEA" w:rsidP="00167F8E">
      <w:pPr>
        <w:spacing w:line="360" w:lineRule="auto"/>
        <w:jc w:val="both"/>
        <w:rPr>
          <w:rFonts w:ascii="Arial" w:hAnsi="Arial" w:cs="Arial"/>
          <w:color w:val="000000"/>
          <w:sz w:val="24"/>
          <w:szCs w:val="24"/>
        </w:rPr>
      </w:pPr>
    </w:p>
    <w:p w:rsidR="00D57BEA" w:rsidRPr="00167F8E" w:rsidRDefault="00D57BEA" w:rsidP="00167F8E">
      <w:pPr>
        <w:spacing w:line="360" w:lineRule="auto"/>
        <w:jc w:val="both"/>
        <w:rPr>
          <w:rFonts w:ascii="Arial" w:hAnsi="Arial" w:cs="Arial"/>
          <w:color w:val="000000"/>
          <w:sz w:val="24"/>
          <w:szCs w:val="24"/>
        </w:rPr>
      </w:pPr>
      <w:r w:rsidRPr="00167F8E">
        <w:rPr>
          <w:rFonts w:ascii="Arial" w:hAnsi="Arial" w:cs="Arial"/>
          <w:color w:val="000000"/>
          <w:sz w:val="24"/>
          <w:szCs w:val="24"/>
        </w:rPr>
        <w:t xml:space="preserve">Der Widerspruch hat gern. § 80 Abs. 2 Satz 1 Ziff. 1 Verwaltungsgerichtsordnung (VwGO) vom 19.03.1991 (BGBl. I S. 686), zuletzt geändert durch Gesetz vom </w:t>
      </w:r>
      <w:r w:rsidRPr="00167F8E">
        <w:rPr>
          <w:rFonts w:ascii="Arial" w:hAnsi="Arial" w:cs="Arial"/>
          <w:color w:val="000000"/>
          <w:sz w:val="24"/>
          <w:szCs w:val="24"/>
        </w:rPr>
        <w:lastRenderedPageBreak/>
        <w:t>21.08.2009 (BGBl. I S. 2870), keine aufschiebende Wirkung. Auch wenn Widerspruch erhoben wird, müssen die angeforderten Beträge fristgemäß gezahlt werden.</w:t>
      </w:r>
    </w:p>
    <w:p w:rsidR="00D57BEA" w:rsidRPr="00167F8E" w:rsidRDefault="00D57BEA" w:rsidP="00167F8E">
      <w:pPr>
        <w:spacing w:line="360" w:lineRule="auto"/>
        <w:jc w:val="both"/>
        <w:rPr>
          <w:rFonts w:ascii="Arial" w:hAnsi="Arial" w:cs="Arial"/>
          <w:color w:val="000000"/>
          <w:sz w:val="24"/>
          <w:szCs w:val="24"/>
        </w:rPr>
      </w:pPr>
    </w:p>
    <w:p w:rsidR="00D57BEA" w:rsidRPr="00167F8E" w:rsidRDefault="00D57BEA" w:rsidP="00167F8E">
      <w:pPr>
        <w:spacing w:line="360" w:lineRule="auto"/>
        <w:jc w:val="both"/>
        <w:rPr>
          <w:rFonts w:ascii="Arial" w:hAnsi="Arial" w:cs="Arial"/>
          <w:sz w:val="24"/>
          <w:szCs w:val="24"/>
        </w:rPr>
      </w:pPr>
      <w:r w:rsidRPr="00167F8E">
        <w:rPr>
          <w:rFonts w:ascii="Arial" w:hAnsi="Arial" w:cs="Arial"/>
          <w:color w:val="000000"/>
          <w:sz w:val="24"/>
          <w:szCs w:val="24"/>
        </w:rPr>
        <w:t>Rückständige Beträge unterliegen der Einziehung im Verwaltungswege.</w:t>
      </w:r>
    </w:p>
    <w:p w:rsidR="00D57BEA" w:rsidRPr="00167F8E" w:rsidRDefault="00D57BEA" w:rsidP="00167F8E">
      <w:pPr>
        <w:spacing w:line="360" w:lineRule="auto"/>
        <w:jc w:val="both"/>
        <w:rPr>
          <w:rFonts w:ascii="Arial" w:hAnsi="Arial" w:cs="Arial"/>
          <w:sz w:val="24"/>
          <w:szCs w:val="24"/>
        </w:rPr>
      </w:pPr>
    </w:p>
    <w:p w:rsidR="008E0052" w:rsidRPr="00167F8E" w:rsidRDefault="008E0052" w:rsidP="00167F8E">
      <w:pPr>
        <w:spacing w:line="360" w:lineRule="auto"/>
        <w:jc w:val="both"/>
        <w:rPr>
          <w:rFonts w:ascii="Arial" w:hAnsi="Arial" w:cs="Arial"/>
          <w:sz w:val="24"/>
          <w:szCs w:val="24"/>
        </w:rPr>
      </w:pPr>
    </w:p>
    <w:sectPr w:rsidR="008E0052" w:rsidRPr="00167F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BB6"/>
    <w:multiLevelType w:val="hybridMultilevel"/>
    <w:tmpl w:val="CEC29CB4"/>
    <w:lvl w:ilvl="0" w:tplc="04070001">
      <w:start w:val="1"/>
      <w:numFmt w:val="bullet"/>
      <w:lvlText w:val=""/>
      <w:lvlJc w:val="left"/>
      <w:pPr>
        <w:ind w:left="1068" w:hanging="360"/>
      </w:pPr>
      <w:rPr>
        <w:rFonts w:ascii="Symbol" w:hAnsi="Symbol" w:hint="default"/>
      </w:rPr>
    </w:lvl>
    <w:lvl w:ilvl="1" w:tplc="0407000B">
      <w:start w:val="1"/>
      <w:numFmt w:val="bullet"/>
      <w:lvlText w:val=""/>
      <w:lvlJc w:val="left"/>
      <w:pPr>
        <w:ind w:left="1788" w:hanging="360"/>
      </w:pPr>
      <w:rPr>
        <w:rFonts w:ascii="Wingdings" w:hAnsi="Wingdings"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45410EB"/>
    <w:multiLevelType w:val="hybridMultilevel"/>
    <w:tmpl w:val="BCD6E7AC"/>
    <w:lvl w:ilvl="0" w:tplc="04070001">
      <w:start w:val="1"/>
      <w:numFmt w:val="bullet"/>
      <w:lvlText w:val=""/>
      <w:lvlJc w:val="left"/>
      <w:pPr>
        <w:ind w:left="1428" w:hanging="360"/>
      </w:pPr>
      <w:rPr>
        <w:rFonts w:ascii="Symbol" w:hAnsi="Symbol" w:hint="default"/>
      </w:rPr>
    </w:lvl>
    <w:lvl w:ilvl="1" w:tplc="0407000B">
      <w:start w:val="1"/>
      <w:numFmt w:val="bullet"/>
      <w:lvlText w:val=""/>
      <w:lvlJc w:val="left"/>
      <w:pPr>
        <w:ind w:left="2148" w:hanging="360"/>
      </w:pPr>
      <w:rPr>
        <w:rFonts w:ascii="Wingdings" w:hAnsi="Wingdings" w:hint="default"/>
      </w:rPr>
    </w:lvl>
    <w:lvl w:ilvl="2" w:tplc="DF52C742">
      <w:numFmt w:val="bullet"/>
      <w:lvlText w:val="-"/>
      <w:lvlJc w:val="left"/>
      <w:pPr>
        <w:ind w:left="2868" w:hanging="360"/>
      </w:pPr>
      <w:rPr>
        <w:rFonts w:ascii="Arial" w:eastAsiaTheme="minorEastAsia" w:hAnsi="Arial" w:cs="Arial"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2B214ABB"/>
    <w:multiLevelType w:val="hybridMultilevel"/>
    <w:tmpl w:val="28ACA722"/>
    <w:lvl w:ilvl="0" w:tplc="0407000B">
      <w:start w:val="1"/>
      <w:numFmt w:val="decimal"/>
      <w:pStyle w:val="Aufz2"/>
      <w:lvlText w:val="%1."/>
      <w:lvlJc w:val="left"/>
      <w:pPr>
        <w:ind w:left="360" w:hanging="360"/>
      </w:pPr>
    </w:lvl>
    <w:lvl w:ilvl="1" w:tplc="04070003" w:tentative="1">
      <w:start w:val="1"/>
      <w:numFmt w:val="lowerLetter"/>
      <w:lvlText w:val="%2."/>
      <w:lvlJc w:val="left"/>
      <w:pPr>
        <w:ind w:left="1080" w:hanging="360"/>
      </w:pPr>
    </w:lvl>
    <w:lvl w:ilvl="2" w:tplc="04070005" w:tentative="1">
      <w:start w:val="1"/>
      <w:numFmt w:val="lowerRoman"/>
      <w:lvlText w:val="%3."/>
      <w:lvlJc w:val="right"/>
      <w:pPr>
        <w:ind w:left="1800" w:hanging="180"/>
      </w:pPr>
    </w:lvl>
    <w:lvl w:ilvl="3" w:tplc="04070001" w:tentative="1">
      <w:start w:val="1"/>
      <w:numFmt w:val="decimal"/>
      <w:lvlText w:val="%4."/>
      <w:lvlJc w:val="left"/>
      <w:pPr>
        <w:ind w:left="2520" w:hanging="360"/>
      </w:pPr>
    </w:lvl>
    <w:lvl w:ilvl="4" w:tplc="04070003" w:tentative="1">
      <w:start w:val="1"/>
      <w:numFmt w:val="lowerLetter"/>
      <w:lvlText w:val="%5."/>
      <w:lvlJc w:val="left"/>
      <w:pPr>
        <w:ind w:left="3240" w:hanging="360"/>
      </w:pPr>
    </w:lvl>
    <w:lvl w:ilvl="5" w:tplc="04070005" w:tentative="1">
      <w:start w:val="1"/>
      <w:numFmt w:val="lowerRoman"/>
      <w:lvlText w:val="%6."/>
      <w:lvlJc w:val="right"/>
      <w:pPr>
        <w:ind w:left="3960" w:hanging="180"/>
      </w:pPr>
    </w:lvl>
    <w:lvl w:ilvl="6" w:tplc="04070001" w:tentative="1">
      <w:start w:val="1"/>
      <w:numFmt w:val="decimal"/>
      <w:lvlText w:val="%7."/>
      <w:lvlJc w:val="left"/>
      <w:pPr>
        <w:ind w:left="4680" w:hanging="360"/>
      </w:pPr>
    </w:lvl>
    <w:lvl w:ilvl="7" w:tplc="04070003" w:tentative="1">
      <w:start w:val="1"/>
      <w:numFmt w:val="lowerLetter"/>
      <w:lvlText w:val="%8."/>
      <w:lvlJc w:val="left"/>
      <w:pPr>
        <w:ind w:left="5400" w:hanging="360"/>
      </w:pPr>
    </w:lvl>
    <w:lvl w:ilvl="8" w:tplc="04070005" w:tentative="1">
      <w:start w:val="1"/>
      <w:numFmt w:val="lowerRoman"/>
      <w:lvlText w:val="%9."/>
      <w:lvlJc w:val="right"/>
      <w:pPr>
        <w:ind w:left="6120" w:hanging="180"/>
      </w:pPr>
    </w:lvl>
  </w:abstractNum>
  <w:abstractNum w:abstractNumId="3" w15:restartNumberingAfterBreak="0">
    <w:nsid w:val="3A1D276E"/>
    <w:multiLevelType w:val="hybridMultilevel"/>
    <w:tmpl w:val="C95EBDB4"/>
    <w:lvl w:ilvl="0" w:tplc="04070001">
      <w:start w:val="1"/>
      <w:numFmt w:val="bullet"/>
      <w:lvlText w:val=""/>
      <w:lvlJc w:val="left"/>
      <w:pPr>
        <w:ind w:left="1068" w:hanging="360"/>
      </w:pPr>
      <w:rPr>
        <w:rFonts w:ascii="Symbol" w:hAnsi="Symbol" w:hint="default"/>
      </w:rPr>
    </w:lvl>
    <w:lvl w:ilvl="1" w:tplc="0407000B">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0E714F4"/>
    <w:multiLevelType w:val="hybridMultilevel"/>
    <w:tmpl w:val="33F464EA"/>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44E675F1"/>
    <w:multiLevelType w:val="hybridMultilevel"/>
    <w:tmpl w:val="E80E01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7361B1A"/>
    <w:multiLevelType w:val="hybridMultilevel"/>
    <w:tmpl w:val="B1B05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CC3F4F"/>
    <w:multiLevelType w:val="multilevel"/>
    <w:tmpl w:val="1C0442A0"/>
    <w:lvl w:ilvl="0">
      <w:start w:val="1"/>
      <w:numFmt w:val="upperLetter"/>
      <w:suff w:val="space"/>
      <w:lvlText w:val="%1"/>
      <w:lvlJc w:val="left"/>
      <w:pPr>
        <w:ind w:left="0" w:firstLine="0"/>
      </w:pPr>
    </w:lvl>
    <w:lvl w:ilvl="1">
      <w:start w:val="1"/>
      <w:numFmt w:val="upperRoman"/>
      <w:suff w:val="space"/>
      <w:lvlText w:val="%2"/>
      <w:lvlJc w:val="left"/>
      <w:pPr>
        <w:ind w:left="284" w:firstLine="0"/>
      </w:pPr>
    </w:lvl>
    <w:lvl w:ilvl="2">
      <w:start w:val="1"/>
      <w:numFmt w:val="decimal"/>
      <w:suff w:val="space"/>
      <w:lvlText w:val="%3"/>
      <w:lvlJc w:val="left"/>
      <w:pPr>
        <w:ind w:left="567" w:firstLine="1"/>
      </w:pPr>
    </w:lvl>
    <w:lvl w:ilvl="3">
      <w:start w:val="1"/>
      <w:numFmt w:val="decimal"/>
      <w:suff w:val="space"/>
      <w:lvlText w:val="%3.%4"/>
      <w:lvlJc w:val="left"/>
      <w:pPr>
        <w:ind w:left="-1" w:firstLine="1"/>
      </w:pPr>
      <w:rPr>
        <w:specVanish w:val="0"/>
      </w:rPr>
    </w:lvl>
    <w:lvl w:ilvl="4">
      <w:start w:val="1"/>
      <w:numFmt w:val="decimal"/>
      <w:suff w:val="space"/>
      <w:lvlText w:val="%3.%4.%5"/>
      <w:lvlJc w:val="left"/>
      <w:pPr>
        <w:ind w:left="1134" w:firstLine="2"/>
      </w:pPr>
    </w:lvl>
    <w:lvl w:ilvl="5">
      <w:start w:val="1"/>
      <w:numFmt w:val="decimal"/>
      <w:suff w:val="space"/>
      <w:lvlText w:val="%3.%4.%5.%6"/>
      <w:lvlJc w:val="left"/>
      <w:pPr>
        <w:ind w:left="424" w:firstLine="2"/>
      </w:pPr>
      <w:rPr>
        <w:specVanish w:val="0"/>
      </w:rPr>
    </w:lvl>
    <w:lvl w:ilvl="6">
      <w:start w:val="1"/>
      <w:numFmt w:val="decimal"/>
      <w:suff w:val="space"/>
      <w:lvlText w:val="%3.%4.%5.%6.%7"/>
      <w:lvlJc w:val="left"/>
      <w:pPr>
        <w:ind w:left="1701" w:firstLine="0"/>
      </w:pPr>
      <w:rPr>
        <w:specVanish w:val="0"/>
      </w:rPr>
    </w:lvl>
    <w:lvl w:ilvl="7">
      <w:start w:val="1"/>
      <w:numFmt w:val="decimal"/>
      <w:suff w:val="space"/>
      <w:lvlText w:val="%3.%4.%5.%6.%7.%8"/>
      <w:lvlJc w:val="left"/>
      <w:pPr>
        <w:ind w:left="1985" w:firstLine="0"/>
      </w:pPr>
    </w:lvl>
    <w:lvl w:ilvl="8">
      <w:start w:val="1"/>
      <w:numFmt w:val="decimal"/>
      <w:suff w:val="space"/>
      <w:lvlText w:val="%3.%4.%5.%6.%7.%8.%9"/>
      <w:lvlJc w:val="left"/>
      <w:pPr>
        <w:ind w:left="2268" w:firstLine="0"/>
      </w:pPr>
    </w:lvl>
  </w:abstractNum>
  <w:abstractNum w:abstractNumId="8" w15:restartNumberingAfterBreak="0">
    <w:nsid w:val="7F246CD5"/>
    <w:multiLevelType w:val="hybridMultilevel"/>
    <w:tmpl w:val="5216AAFE"/>
    <w:lvl w:ilvl="0" w:tplc="5E7ACB9A">
      <w:numFmt w:val="bullet"/>
      <w:pStyle w:val="Standartvorlage"/>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CA"/>
    <w:rsid w:val="000A59D3"/>
    <w:rsid w:val="00150134"/>
    <w:rsid w:val="00167F8E"/>
    <w:rsid w:val="00250C80"/>
    <w:rsid w:val="00323C5F"/>
    <w:rsid w:val="00473AFB"/>
    <w:rsid w:val="004B015C"/>
    <w:rsid w:val="005929B8"/>
    <w:rsid w:val="005A2F61"/>
    <w:rsid w:val="005D009C"/>
    <w:rsid w:val="00724D6D"/>
    <w:rsid w:val="00794C91"/>
    <w:rsid w:val="007A7CC8"/>
    <w:rsid w:val="007B20CA"/>
    <w:rsid w:val="008E0052"/>
    <w:rsid w:val="008E5388"/>
    <w:rsid w:val="009008FC"/>
    <w:rsid w:val="0096240B"/>
    <w:rsid w:val="00A23430"/>
    <w:rsid w:val="00B011B3"/>
    <w:rsid w:val="00CD66A3"/>
    <w:rsid w:val="00D57BEA"/>
    <w:rsid w:val="00DC55B1"/>
    <w:rsid w:val="00DF0728"/>
    <w:rsid w:val="00F86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3051"/>
  <w15:chartTrackingRefBased/>
  <w15:docId w15:val="{AE41875D-D679-4C1A-9A9F-3A23A13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20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uiPriority w:val="9"/>
    <w:qFormat/>
    <w:rsid w:val="007B20CA"/>
    <w:pPr>
      <w:keepNext/>
      <w:tabs>
        <w:tab w:val="left" w:pos="284"/>
        <w:tab w:val="left" w:pos="5104"/>
        <w:tab w:val="left" w:pos="6237"/>
      </w:tabs>
      <w:ind w:left="284" w:hanging="284"/>
      <w:jc w:val="center"/>
      <w:outlineLvl w:val="1"/>
    </w:pPr>
    <w:rPr>
      <w:rFonts w:ascii="Arial" w:hAnsi="Arial"/>
      <w:b/>
      <w:bCs/>
      <w:color w:val="000000"/>
      <w:sz w:val="24"/>
    </w:rPr>
  </w:style>
  <w:style w:type="paragraph" w:styleId="berschrift3">
    <w:name w:val="heading 3"/>
    <w:basedOn w:val="Standard"/>
    <w:next w:val="Standard"/>
    <w:link w:val="berschrift3Zchn"/>
    <w:uiPriority w:val="9"/>
    <w:unhideWhenUsed/>
    <w:qFormat/>
    <w:rsid w:val="00DF07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DF0728"/>
    <w:pPr>
      <w:keepNext/>
      <w:keepLines/>
      <w:overflowPunct/>
      <w:autoSpaceDE/>
      <w:autoSpaceDN/>
      <w:adjustRightInd/>
      <w:spacing w:before="120" w:after="120" w:line="276" w:lineRule="auto"/>
      <w:ind w:left="-1" w:firstLine="1"/>
      <w:textAlignment w:val="auto"/>
      <w:outlineLvl w:val="3"/>
    </w:pPr>
    <w:rPr>
      <w:rFonts w:ascii="Arial" w:eastAsiaTheme="majorEastAsia" w:hAnsi="Arial" w:cstheme="majorBidi"/>
      <w:b/>
      <w:bCs/>
      <w:iCs/>
      <w:sz w:val="24"/>
      <w:szCs w:val="22"/>
      <w:lang w:eastAsia="en-US"/>
    </w:rPr>
  </w:style>
  <w:style w:type="paragraph" w:styleId="berschrift5">
    <w:name w:val="heading 5"/>
    <w:basedOn w:val="Standard"/>
    <w:next w:val="Standard"/>
    <w:link w:val="berschrift5Zchn"/>
    <w:uiPriority w:val="9"/>
    <w:unhideWhenUsed/>
    <w:qFormat/>
    <w:rsid w:val="00DF0728"/>
    <w:pPr>
      <w:keepNext/>
      <w:keepLines/>
      <w:overflowPunct/>
      <w:autoSpaceDE/>
      <w:autoSpaceDN/>
      <w:adjustRightInd/>
      <w:spacing w:before="120" w:after="120" w:line="276" w:lineRule="auto"/>
      <w:textAlignment w:val="auto"/>
      <w:outlineLvl w:val="4"/>
    </w:pPr>
    <w:rPr>
      <w:rFonts w:ascii="Arial" w:eastAsiaTheme="majorEastAsia" w:hAnsi="Arial" w:cstheme="majorBidi"/>
      <w:b/>
      <w:sz w:val="24"/>
      <w:szCs w:val="22"/>
      <w:lang w:eastAsia="en-US"/>
    </w:rPr>
  </w:style>
  <w:style w:type="paragraph" w:styleId="berschrift6">
    <w:name w:val="heading 6"/>
    <w:basedOn w:val="Standard"/>
    <w:next w:val="Standard"/>
    <w:link w:val="berschrift6Zchn"/>
    <w:uiPriority w:val="9"/>
    <w:unhideWhenUsed/>
    <w:qFormat/>
    <w:rsid w:val="00DF0728"/>
    <w:pPr>
      <w:keepNext/>
      <w:keepLines/>
      <w:overflowPunct/>
      <w:autoSpaceDE/>
      <w:autoSpaceDN/>
      <w:adjustRightInd/>
      <w:spacing w:before="120" w:after="120" w:line="276" w:lineRule="auto"/>
      <w:textAlignment w:val="auto"/>
      <w:outlineLvl w:val="5"/>
    </w:pPr>
    <w:rPr>
      <w:rFonts w:ascii="Arial" w:eastAsiaTheme="majorEastAsia" w:hAnsi="Arial" w:cstheme="majorBidi"/>
      <w:b/>
      <w:iCs/>
      <w:sz w:val="24"/>
      <w:szCs w:val="22"/>
      <w:lang w:eastAsia="en-US"/>
    </w:rPr>
  </w:style>
  <w:style w:type="paragraph" w:styleId="berschrift7">
    <w:name w:val="heading 7"/>
    <w:basedOn w:val="Standard"/>
    <w:next w:val="Standard"/>
    <w:link w:val="berschrift7Zchn"/>
    <w:uiPriority w:val="9"/>
    <w:unhideWhenUsed/>
    <w:qFormat/>
    <w:rsid w:val="00DF0728"/>
    <w:pPr>
      <w:keepNext/>
      <w:keepLines/>
      <w:overflowPunct/>
      <w:autoSpaceDE/>
      <w:autoSpaceDN/>
      <w:adjustRightInd/>
      <w:spacing w:before="120" w:after="120" w:line="276" w:lineRule="auto"/>
      <w:textAlignment w:val="auto"/>
      <w:outlineLvl w:val="6"/>
    </w:pPr>
    <w:rPr>
      <w:rFonts w:ascii="Arial" w:eastAsiaTheme="majorEastAsia" w:hAnsi="Arial" w:cstheme="majorBidi"/>
      <w:b/>
      <w:iCs/>
      <w:sz w:val="24"/>
      <w:szCs w:val="22"/>
      <w:lang w:eastAsia="en-US"/>
    </w:rPr>
  </w:style>
  <w:style w:type="paragraph" w:styleId="berschrift8">
    <w:name w:val="heading 8"/>
    <w:basedOn w:val="Standard"/>
    <w:next w:val="Standard"/>
    <w:link w:val="berschrift8Zchn"/>
    <w:uiPriority w:val="9"/>
    <w:unhideWhenUsed/>
    <w:qFormat/>
    <w:rsid w:val="00DF0728"/>
    <w:pPr>
      <w:keepNext/>
      <w:keepLines/>
      <w:overflowPunct/>
      <w:autoSpaceDE/>
      <w:autoSpaceDN/>
      <w:adjustRightInd/>
      <w:spacing w:before="120" w:after="120" w:line="276" w:lineRule="auto"/>
      <w:textAlignment w:val="auto"/>
      <w:outlineLvl w:val="7"/>
    </w:pPr>
    <w:rPr>
      <w:rFonts w:ascii="Arial" w:eastAsiaTheme="majorEastAsia" w:hAnsi="Arial" w:cstheme="majorBidi"/>
      <w:b/>
      <w:sz w:val="24"/>
      <w:lang w:eastAsia="en-US"/>
    </w:rPr>
  </w:style>
  <w:style w:type="paragraph" w:styleId="berschrift9">
    <w:name w:val="heading 9"/>
    <w:basedOn w:val="Standard"/>
    <w:next w:val="Standard"/>
    <w:link w:val="berschrift9Zchn"/>
    <w:uiPriority w:val="9"/>
    <w:unhideWhenUsed/>
    <w:qFormat/>
    <w:rsid w:val="00DF0728"/>
    <w:pPr>
      <w:keepNext/>
      <w:keepLines/>
      <w:overflowPunct/>
      <w:autoSpaceDE/>
      <w:autoSpaceDN/>
      <w:adjustRightInd/>
      <w:spacing w:before="120" w:after="120" w:line="276" w:lineRule="auto"/>
      <w:jc w:val="both"/>
      <w:textAlignment w:val="auto"/>
      <w:outlineLvl w:val="8"/>
    </w:pPr>
    <w:rPr>
      <w:rFonts w:ascii="Arial" w:eastAsiaTheme="majorEastAsia" w:hAnsi="Arial" w:cstheme="majorBidi"/>
      <w:b/>
      <w:iCs/>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vorlage">
    <w:name w:val="Standartvorlage"/>
    <w:basedOn w:val="Listenabsatz"/>
    <w:autoRedefine/>
    <w:qFormat/>
    <w:rsid w:val="00794C91"/>
    <w:pPr>
      <w:numPr>
        <w:numId w:val="1"/>
      </w:numPr>
      <w:spacing w:line="360" w:lineRule="auto"/>
      <w:contextualSpacing w:val="0"/>
      <w:jc w:val="both"/>
    </w:pPr>
    <w:rPr>
      <w:rFonts w:ascii="Arial" w:hAnsi="Arial" w:cs="Calibri"/>
      <w:sz w:val="24"/>
    </w:rPr>
  </w:style>
  <w:style w:type="paragraph" w:styleId="Listenabsatz">
    <w:name w:val="List Paragraph"/>
    <w:basedOn w:val="Standard"/>
    <w:uiPriority w:val="34"/>
    <w:qFormat/>
    <w:rsid w:val="00794C91"/>
    <w:pPr>
      <w:ind w:left="720"/>
      <w:contextualSpacing/>
    </w:pPr>
  </w:style>
  <w:style w:type="character" w:customStyle="1" w:styleId="berschrift2Zchn">
    <w:name w:val="Überschrift 2 Zchn"/>
    <w:basedOn w:val="Absatz-Standardschriftart"/>
    <w:link w:val="berschrift2"/>
    <w:rsid w:val="007B20CA"/>
    <w:rPr>
      <w:rFonts w:ascii="Arial" w:eastAsia="Times New Roman" w:hAnsi="Arial" w:cs="Times New Roman"/>
      <w:b/>
      <w:bCs/>
      <w:color w:val="000000"/>
      <w:sz w:val="24"/>
      <w:szCs w:val="20"/>
      <w:lang w:eastAsia="de-DE"/>
    </w:rPr>
  </w:style>
  <w:style w:type="paragraph" w:customStyle="1" w:styleId="Default">
    <w:name w:val="Default"/>
    <w:rsid w:val="007B20CA"/>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Textkrper-Einzug2">
    <w:name w:val="Body Text Indent 2"/>
    <w:basedOn w:val="Standard"/>
    <w:link w:val="Textkrper-Einzug2Zchn"/>
    <w:semiHidden/>
    <w:rsid w:val="007B20CA"/>
    <w:pPr>
      <w:tabs>
        <w:tab w:val="left" w:pos="284"/>
        <w:tab w:val="left" w:pos="567"/>
        <w:tab w:val="left" w:pos="5104"/>
        <w:tab w:val="left" w:pos="6237"/>
      </w:tabs>
      <w:ind w:left="567" w:hanging="567"/>
    </w:pPr>
    <w:rPr>
      <w:rFonts w:ascii="Arial" w:hAnsi="Arial"/>
      <w:color w:val="000000"/>
      <w:sz w:val="24"/>
    </w:rPr>
  </w:style>
  <w:style w:type="character" w:customStyle="1" w:styleId="Textkrper-Einzug2Zchn">
    <w:name w:val="Textkörper-Einzug 2 Zchn"/>
    <w:basedOn w:val="Absatz-Standardschriftart"/>
    <w:link w:val="Textkrper-Einzug2"/>
    <w:semiHidden/>
    <w:rsid w:val="007B20CA"/>
    <w:rPr>
      <w:rFonts w:ascii="Arial" w:eastAsia="Times New Roman" w:hAnsi="Arial" w:cs="Times New Roman"/>
      <w:color w:val="000000"/>
      <w:sz w:val="24"/>
      <w:szCs w:val="20"/>
      <w:lang w:eastAsia="de-DE"/>
    </w:rPr>
  </w:style>
  <w:style w:type="paragraph" w:customStyle="1" w:styleId="Aufz2">
    <w:name w:val="Aufz 2"/>
    <w:basedOn w:val="Standard"/>
    <w:qFormat/>
    <w:rsid w:val="007B20CA"/>
    <w:pPr>
      <w:numPr>
        <w:numId w:val="2"/>
      </w:numPr>
      <w:tabs>
        <w:tab w:val="left" w:pos="1701"/>
        <w:tab w:val="left" w:pos="2552"/>
        <w:tab w:val="left" w:pos="3402"/>
        <w:tab w:val="center" w:pos="5245"/>
        <w:tab w:val="right" w:pos="9923"/>
      </w:tabs>
      <w:overflowPunct/>
      <w:spacing w:before="240" w:after="240" w:line="300" w:lineRule="exact"/>
      <w:ind w:left="357" w:right="-1" w:hanging="357"/>
      <w:jc w:val="both"/>
      <w:textAlignment w:val="auto"/>
    </w:pPr>
    <w:rPr>
      <w:rFonts w:ascii="Arial" w:hAnsi="Arial" w:cs="Arial"/>
      <w:bCs/>
      <w:color w:val="000000"/>
      <w:sz w:val="22"/>
    </w:rPr>
  </w:style>
  <w:style w:type="character" w:styleId="Hyperlink">
    <w:name w:val="Hyperlink"/>
    <w:uiPriority w:val="99"/>
    <w:unhideWhenUsed/>
    <w:rsid w:val="007B20CA"/>
    <w:rPr>
      <w:color w:val="0000FF"/>
      <w:u w:val="single"/>
    </w:rPr>
  </w:style>
  <w:style w:type="character" w:customStyle="1" w:styleId="berschrift3Zchn">
    <w:name w:val="Überschrift 3 Zchn"/>
    <w:basedOn w:val="Absatz-Standardschriftart"/>
    <w:link w:val="berschrift3"/>
    <w:uiPriority w:val="9"/>
    <w:semiHidden/>
    <w:rsid w:val="00DF0728"/>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rsid w:val="00DF0728"/>
    <w:rPr>
      <w:rFonts w:ascii="Arial" w:eastAsiaTheme="majorEastAsia" w:hAnsi="Arial" w:cstheme="majorBidi"/>
      <w:b/>
      <w:bCs/>
      <w:iCs/>
      <w:sz w:val="24"/>
    </w:rPr>
  </w:style>
  <w:style w:type="character" w:customStyle="1" w:styleId="berschrift5Zchn">
    <w:name w:val="Überschrift 5 Zchn"/>
    <w:basedOn w:val="Absatz-Standardschriftart"/>
    <w:link w:val="berschrift5"/>
    <w:uiPriority w:val="9"/>
    <w:rsid w:val="00DF0728"/>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DF0728"/>
    <w:rPr>
      <w:rFonts w:ascii="Arial" w:eastAsiaTheme="majorEastAsia" w:hAnsi="Arial" w:cstheme="majorBidi"/>
      <w:b/>
      <w:iCs/>
      <w:sz w:val="24"/>
    </w:rPr>
  </w:style>
  <w:style w:type="character" w:customStyle="1" w:styleId="berschrift7Zchn">
    <w:name w:val="Überschrift 7 Zchn"/>
    <w:basedOn w:val="Absatz-Standardschriftart"/>
    <w:link w:val="berschrift7"/>
    <w:uiPriority w:val="9"/>
    <w:rsid w:val="00DF0728"/>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DF0728"/>
    <w:rPr>
      <w:rFonts w:ascii="Arial" w:eastAsiaTheme="majorEastAsia" w:hAnsi="Arial" w:cstheme="majorBidi"/>
      <w:b/>
      <w:sz w:val="24"/>
      <w:szCs w:val="20"/>
    </w:rPr>
  </w:style>
  <w:style w:type="character" w:customStyle="1" w:styleId="berschrift9Zchn">
    <w:name w:val="Überschrift 9 Zchn"/>
    <w:basedOn w:val="Absatz-Standardschriftart"/>
    <w:link w:val="berschrift9"/>
    <w:uiPriority w:val="9"/>
    <w:rsid w:val="00DF0728"/>
    <w:rPr>
      <w:rFonts w:ascii="Arial" w:eastAsiaTheme="majorEastAsia" w:hAnsi="Arial" w:cstheme="majorBidi"/>
      <w:b/>
      <w:iCs/>
      <w:sz w:val="24"/>
      <w:szCs w:val="20"/>
    </w:rPr>
  </w:style>
  <w:style w:type="paragraph" w:customStyle="1" w:styleId="berschrift0">
    <w:name w:val="Überschrift 0"/>
    <w:basedOn w:val="berschrift2"/>
    <w:autoRedefine/>
    <w:qFormat/>
    <w:rsid w:val="00DF0728"/>
    <w:pPr>
      <w:keepLines/>
      <w:pageBreakBefore/>
      <w:tabs>
        <w:tab w:val="clear" w:pos="284"/>
        <w:tab w:val="clear" w:pos="5104"/>
        <w:tab w:val="clear" w:pos="6237"/>
      </w:tabs>
      <w:overflowPunct/>
      <w:autoSpaceDE/>
      <w:autoSpaceDN/>
      <w:adjustRightInd/>
      <w:spacing w:before="120" w:after="120" w:line="276" w:lineRule="auto"/>
      <w:ind w:left="0" w:firstLine="0"/>
      <w:jc w:val="left"/>
      <w:textAlignment w:val="auto"/>
    </w:pPr>
    <w:rPr>
      <w:rFonts w:eastAsiaTheme="majorEastAsia" w:cstheme="majorBidi"/>
      <w:color w:val="auto"/>
      <w:sz w:val="28"/>
      <w:szCs w:val="26"/>
      <w:lang w:eastAsia="en-US"/>
    </w:rPr>
  </w:style>
  <w:style w:type="character" w:styleId="Kommentarzeichen">
    <w:name w:val="annotation reference"/>
    <w:basedOn w:val="Absatz-Standardschriftart"/>
    <w:uiPriority w:val="99"/>
    <w:semiHidden/>
    <w:unhideWhenUsed/>
    <w:rsid w:val="007A7CC8"/>
    <w:rPr>
      <w:sz w:val="16"/>
      <w:szCs w:val="16"/>
    </w:rPr>
  </w:style>
  <w:style w:type="paragraph" w:styleId="Kommentartext">
    <w:name w:val="annotation text"/>
    <w:basedOn w:val="Standard"/>
    <w:link w:val="KommentartextZchn"/>
    <w:uiPriority w:val="99"/>
    <w:semiHidden/>
    <w:unhideWhenUsed/>
    <w:rsid w:val="007A7CC8"/>
  </w:style>
  <w:style w:type="character" w:customStyle="1" w:styleId="KommentartextZchn">
    <w:name w:val="Kommentartext Zchn"/>
    <w:basedOn w:val="Absatz-Standardschriftart"/>
    <w:link w:val="Kommentartext"/>
    <w:uiPriority w:val="99"/>
    <w:semiHidden/>
    <w:rsid w:val="007A7CC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7CC8"/>
    <w:rPr>
      <w:b/>
      <w:bCs/>
    </w:rPr>
  </w:style>
  <w:style w:type="character" w:customStyle="1" w:styleId="KommentarthemaZchn">
    <w:name w:val="Kommentarthema Zchn"/>
    <w:basedOn w:val="KommentartextZchn"/>
    <w:link w:val="Kommentarthema"/>
    <w:uiPriority w:val="99"/>
    <w:semiHidden/>
    <w:rsid w:val="007A7CC8"/>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A7C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CC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10826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Eckhoff, Lars (MELUND)</dc:creator>
  <cp:keywords/>
  <dc:description/>
  <cp:lastModifiedBy>Eckhoff, Lars (MELUND)</cp:lastModifiedBy>
  <cp:revision>2</cp:revision>
  <dcterms:created xsi:type="dcterms:W3CDTF">2023-03-06T09:47:00Z</dcterms:created>
  <dcterms:modified xsi:type="dcterms:W3CDTF">2023-03-06T09:47:00Z</dcterms:modified>
</cp:coreProperties>
</file>