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22" w:rsidRDefault="00C16822" w:rsidP="00E1653E">
      <w:pPr>
        <w:pStyle w:val="berschrift1"/>
        <w:spacing w:line="360" w:lineRule="auto"/>
      </w:pPr>
      <w:r>
        <w:t xml:space="preserve">Feststellung </w:t>
      </w:r>
      <w:r w:rsidR="00881D6B">
        <w:t>des Unterbleibens einer Umweltverträglichkeitsprüfung (UVP)</w:t>
      </w:r>
    </w:p>
    <w:p w:rsidR="00C16822" w:rsidRDefault="00E96015" w:rsidP="00E1653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nach § 5 Abs.</w:t>
      </w:r>
      <w:r w:rsidR="00881D6B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="00C16822">
        <w:rPr>
          <w:b/>
          <w:sz w:val="24"/>
        </w:rPr>
        <w:t xml:space="preserve"> des Gesetzes über die</w:t>
      </w:r>
    </w:p>
    <w:p w:rsidR="00C16822" w:rsidRDefault="00C16822" w:rsidP="00E1653E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Umweltverträglichkeitsprüfung</w:t>
      </w:r>
      <w:r w:rsidR="00247402">
        <w:rPr>
          <w:b/>
          <w:sz w:val="24"/>
        </w:rPr>
        <w:t xml:space="preserve"> (UVPG)</w:t>
      </w:r>
      <w:r w:rsidR="00881D6B">
        <w:rPr>
          <w:b/>
          <w:sz w:val="24"/>
        </w:rPr>
        <w:t xml:space="preserve"> für das Vorhaben einer Waldumwandlung</w:t>
      </w:r>
    </w:p>
    <w:p w:rsidR="00DB4211" w:rsidRDefault="00DB4211" w:rsidP="00881D6B">
      <w:pPr>
        <w:spacing w:line="360" w:lineRule="auto"/>
        <w:jc w:val="center"/>
        <w:rPr>
          <w:rFonts w:eastAsiaTheme="minorEastAsia" w:cs="Arial"/>
          <w:sz w:val="24"/>
          <w:szCs w:val="24"/>
          <w:lang w:eastAsia="zh-CN"/>
        </w:rPr>
      </w:pPr>
      <w:r w:rsidRPr="00DB4211">
        <w:rPr>
          <w:rFonts w:eastAsiaTheme="minorEastAsia" w:cs="Arial"/>
          <w:sz w:val="24"/>
          <w:szCs w:val="24"/>
          <w:lang w:eastAsia="zh-CN"/>
        </w:rPr>
        <w:t>Bekanntmachung des Landesamtes für Landwirtschaft</w:t>
      </w:r>
      <w:r w:rsidR="003D7179">
        <w:rPr>
          <w:rFonts w:eastAsiaTheme="minorEastAsia" w:cs="Arial"/>
          <w:sz w:val="24"/>
          <w:szCs w:val="24"/>
          <w:lang w:eastAsia="zh-CN"/>
        </w:rPr>
        <w:t xml:space="preserve"> und nachhaltige Landentwicklung </w:t>
      </w:r>
      <w:r w:rsidRPr="00DB4211">
        <w:rPr>
          <w:rFonts w:eastAsiaTheme="minorEastAsia" w:cs="Arial"/>
          <w:sz w:val="24"/>
          <w:szCs w:val="24"/>
          <w:lang w:eastAsia="zh-CN"/>
        </w:rPr>
        <w:t>Außenstelle Flensburg – untere Forstbehörde –</w:t>
      </w:r>
      <w:r w:rsidR="00B905BD">
        <w:rPr>
          <w:rFonts w:eastAsiaTheme="minorEastAsia" w:cs="Arial"/>
          <w:sz w:val="24"/>
          <w:szCs w:val="24"/>
          <w:lang w:eastAsia="zh-CN"/>
        </w:rPr>
        <w:t xml:space="preserve"> vom </w:t>
      </w:r>
      <w:r w:rsidR="009450FA">
        <w:rPr>
          <w:rFonts w:eastAsiaTheme="minorEastAsia" w:cs="Arial"/>
          <w:sz w:val="24"/>
          <w:szCs w:val="24"/>
          <w:lang w:eastAsia="zh-CN"/>
        </w:rPr>
        <w:t>11.12</w:t>
      </w:r>
      <w:r w:rsidR="003D7179">
        <w:rPr>
          <w:rFonts w:eastAsiaTheme="minorEastAsia" w:cs="Arial"/>
          <w:sz w:val="24"/>
          <w:szCs w:val="24"/>
          <w:lang w:eastAsia="zh-CN"/>
        </w:rPr>
        <w:t>.2023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 </w:t>
      </w:r>
      <w:r w:rsidR="00CD0F6E">
        <w:rPr>
          <w:rFonts w:eastAsiaTheme="minorEastAsia" w:cs="Arial"/>
          <w:sz w:val="24"/>
          <w:szCs w:val="24"/>
          <w:lang w:eastAsia="zh-CN"/>
        </w:rPr>
        <w:t xml:space="preserve">- Az.: </w:t>
      </w:r>
      <w:r w:rsidR="00E21DCA" w:rsidRPr="00E21DCA">
        <w:rPr>
          <w:rFonts w:eastAsiaTheme="minorEastAsia" w:cs="Arial"/>
          <w:sz w:val="24"/>
          <w:szCs w:val="24"/>
          <w:lang w:eastAsia="zh-CN"/>
        </w:rPr>
        <w:t>741-632/2023-14247/2023-UV-82293/2023</w:t>
      </w:r>
    </w:p>
    <w:p w:rsidR="00DB4211" w:rsidRPr="00DB4211" w:rsidRDefault="00DB4211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>
        <w:rPr>
          <w:rFonts w:eastAsiaTheme="minorEastAsia" w:cs="Arial"/>
          <w:sz w:val="24"/>
          <w:szCs w:val="24"/>
          <w:lang w:eastAsia="zh-CN"/>
        </w:rPr>
        <w:t xml:space="preserve">Kreis </w:t>
      </w:r>
      <w:r w:rsidR="00E21DCA">
        <w:rPr>
          <w:rFonts w:eastAsiaTheme="minorEastAsia" w:cs="Arial"/>
          <w:sz w:val="24"/>
          <w:szCs w:val="24"/>
          <w:lang w:eastAsia="zh-CN"/>
        </w:rPr>
        <w:t>Schleswig-Flensburg</w:t>
      </w:r>
      <w:r w:rsidR="00CD0F6E">
        <w:rPr>
          <w:rFonts w:eastAsiaTheme="minorEastAsia" w:cs="Arial"/>
          <w:sz w:val="24"/>
          <w:szCs w:val="24"/>
          <w:lang w:eastAsia="zh-CN"/>
        </w:rPr>
        <w:t>, Gemeinde</w:t>
      </w:r>
      <w:r w:rsidR="00E21DCA">
        <w:rPr>
          <w:rFonts w:eastAsiaTheme="minorEastAsia" w:cs="Arial"/>
          <w:sz w:val="24"/>
          <w:szCs w:val="24"/>
          <w:lang w:eastAsia="zh-CN"/>
        </w:rPr>
        <w:t>n</w:t>
      </w:r>
      <w:r w:rsidR="00CD0F6E">
        <w:rPr>
          <w:rFonts w:eastAsiaTheme="minorEastAsia" w:cs="Arial"/>
          <w:sz w:val="24"/>
          <w:szCs w:val="24"/>
          <w:lang w:eastAsia="zh-CN"/>
        </w:rPr>
        <w:t xml:space="preserve"> </w:t>
      </w:r>
      <w:r w:rsidR="00E21DCA">
        <w:rPr>
          <w:rFonts w:eastAsiaTheme="minorEastAsia" w:cs="Arial"/>
          <w:sz w:val="24"/>
          <w:szCs w:val="24"/>
          <w:lang w:eastAsia="zh-CN"/>
        </w:rPr>
        <w:t>Lindewitt und Großenwiehe</w:t>
      </w:r>
    </w:p>
    <w:p w:rsidR="00B52883" w:rsidRDefault="003D7179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>
        <w:rPr>
          <w:rFonts w:eastAsiaTheme="minorEastAsia" w:cs="Arial"/>
          <w:sz w:val="24"/>
          <w:szCs w:val="24"/>
          <w:lang w:eastAsia="zh-CN"/>
        </w:rPr>
        <w:t xml:space="preserve">Die </w:t>
      </w:r>
      <w:r w:rsidR="00E21DCA">
        <w:rPr>
          <w:rFonts w:eastAsiaTheme="minorEastAsia" w:cs="Arial"/>
          <w:sz w:val="24"/>
          <w:szCs w:val="24"/>
          <w:lang w:eastAsia="zh-CN"/>
        </w:rPr>
        <w:t>Stiftung Naturschutz Schleswig-Holstein</w:t>
      </w:r>
      <w:r w:rsidR="00DB4211" w:rsidRPr="00DB4211">
        <w:rPr>
          <w:rFonts w:eastAsiaTheme="minorEastAsia" w:cs="Arial"/>
          <w:sz w:val="24"/>
          <w:szCs w:val="24"/>
          <w:lang w:eastAsia="zh-CN"/>
        </w:rPr>
        <w:t xml:space="preserve"> (</w:t>
      </w:r>
      <w:proofErr w:type="spellStart"/>
      <w:r w:rsidR="00E21DCA">
        <w:rPr>
          <w:rFonts w:eastAsiaTheme="minorEastAsia" w:cs="Arial"/>
          <w:sz w:val="24"/>
          <w:szCs w:val="24"/>
          <w:lang w:eastAsia="zh-CN"/>
        </w:rPr>
        <w:t>Eschenbrook</w:t>
      </w:r>
      <w:proofErr w:type="spellEnd"/>
      <w:r w:rsidR="00E21DCA">
        <w:rPr>
          <w:rFonts w:eastAsiaTheme="minorEastAsia" w:cs="Arial"/>
          <w:sz w:val="24"/>
          <w:szCs w:val="24"/>
          <w:lang w:eastAsia="zh-CN"/>
        </w:rPr>
        <w:t xml:space="preserve"> 4, 24116 </w:t>
      </w:r>
      <w:proofErr w:type="spellStart"/>
      <w:r w:rsidR="00E21DCA">
        <w:rPr>
          <w:rFonts w:eastAsiaTheme="minorEastAsia" w:cs="Arial"/>
          <w:sz w:val="24"/>
          <w:szCs w:val="24"/>
          <w:lang w:eastAsia="zh-CN"/>
        </w:rPr>
        <w:t>Molfsee</w:t>
      </w:r>
      <w:proofErr w:type="spellEnd"/>
      <w:r w:rsidR="00AF6AF7">
        <w:rPr>
          <w:rFonts w:eastAsiaTheme="minorEastAsia" w:cs="Arial"/>
          <w:sz w:val="24"/>
          <w:szCs w:val="24"/>
          <w:lang w:eastAsia="zh-CN"/>
        </w:rPr>
        <w:t xml:space="preserve">) plant die </w:t>
      </w:r>
      <w:r>
        <w:rPr>
          <w:rFonts w:eastAsiaTheme="minorEastAsia" w:cs="Arial"/>
          <w:sz w:val="24"/>
          <w:szCs w:val="24"/>
          <w:lang w:eastAsia="zh-CN"/>
        </w:rPr>
        <w:t xml:space="preserve">Umwandlung </w:t>
      </w:r>
      <w:r w:rsidR="00DB4211" w:rsidRPr="00DB4211">
        <w:rPr>
          <w:rFonts w:eastAsiaTheme="minorEastAsia" w:cs="Arial"/>
          <w:sz w:val="24"/>
          <w:szCs w:val="24"/>
          <w:lang w:eastAsia="zh-CN"/>
        </w:rPr>
        <w:t xml:space="preserve">einer </w:t>
      </w:r>
      <w:r w:rsidR="00E21DCA">
        <w:rPr>
          <w:rFonts w:eastAsiaTheme="minorEastAsia" w:cs="Arial"/>
          <w:sz w:val="24"/>
          <w:szCs w:val="24"/>
          <w:lang w:eastAsia="zh-CN"/>
        </w:rPr>
        <w:t>7,0935</w:t>
      </w:r>
      <w:r w:rsidR="00DB4211" w:rsidRPr="00DB4211">
        <w:rPr>
          <w:rFonts w:eastAsiaTheme="minorEastAsia" w:cs="Arial"/>
          <w:sz w:val="24"/>
          <w:szCs w:val="24"/>
          <w:lang w:eastAsia="zh-CN"/>
        </w:rPr>
        <w:t xml:space="preserve"> ha großen </w:t>
      </w:r>
      <w:r>
        <w:rPr>
          <w:rFonts w:eastAsiaTheme="minorEastAsia" w:cs="Arial"/>
          <w:sz w:val="24"/>
          <w:szCs w:val="24"/>
          <w:lang w:eastAsia="zh-CN"/>
        </w:rPr>
        <w:t>Waldf</w:t>
      </w:r>
      <w:r w:rsidR="00AF6AF7">
        <w:rPr>
          <w:rFonts w:eastAsiaTheme="minorEastAsia" w:cs="Arial"/>
          <w:sz w:val="24"/>
          <w:szCs w:val="24"/>
          <w:lang w:eastAsia="zh-CN"/>
        </w:rPr>
        <w:t xml:space="preserve">läche </w:t>
      </w:r>
      <w:r w:rsidR="00B52883">
        <w:rPr>
          <w:rFonts w:eastAsiaTheme="minorEastAsia" w:cs="Arial"/>
          <w:sz w:val="24"/>
          <w:szCs w:val="24"/>
          <w:lang w:eastAsia="zh-CN"/>
        </w:rPr>
        <w:t>in den Randbereichen des Seelandmoores</w:t>
      </w:r>
      <w:r>
        <w:rPr>
          <w:rFonts w:eastAsiaTheme="minorEastAsia" w:cs="Arial"/>
          <w:sz w:val="24"/>
          <w:szCs w:val="24"/>
          <w:lang w:eastAsia="zh-CN"/>
        </w:rPr>
        <w:t xml:space="preserve"> </w:t>
      </w:r>
      <w:r w:rsidR="00AF6AF7">
        <w:rPr>
          <w:rFonts w:eastAsiaTheme="minorEastAsia" w:cs="Arial"/>
          <w:sz w:val="24"/>
          <w:szCs w:val="24"/>
          <w:lang w:eastAsia="zh-CN"/>
        </w:rPr>
        <w:t>in de</w:t>
      </w:r>
      <w:r w:rsidR="00E21DCA">
        <w:rPr>
          <w:rFonts w:eastAsiaTheme="minorEastAsia" w:cs="Arial"/>
          <w:sz w:val="24"/>
          <w:szCs w:val="24"/>
          <w:lang w:eastAsia="zh-CN"/>
        </w:rPr>
        <w:t>n</w:t>
      </w:r>
      <w:r w:rsidR="00AF6AF7">
        <w:rPr>
          <w:rFonts w:eastAsiaTheme="minorEastAsia" w:cs="Arial"/>
          <w:sz w:val="24"/>
          <w:szCs w:val="24"/>
          <w:lang w:eastAsia="zh-CN"/>
        </w:rPr>
        <w:t xml:space="preserve"> Gemeinde</w:t>
      </w:r>
      <w:r w:rsidR="00E21DCA">
        <w:rPr>
          <w:rFonts w:eastAsiaTheme="minorEastAsia" w:cs="Arial"/>
          <w:sz w:val="24"/>
          <w:szCs w:val="24"/>
          <w:lang w:eastAsia="zh-CN"/>
        </w:rPr>
        <w:t>n</w:t>
      </w:r>
      <w:r w:rsidR="00AF6AF7">
        <w:rPr>
          <w:rFonts w:eastAsiaTheme="minorEastAsia" w:cs="Arial"/>
          <w:sz w:val="24"/>
          <w:szCs w:val="24"/>
          <w:lang w:eastAsia="zh-CN"/>
        </w:rPr>
        <w:t xml:space="preserve"> </w:t>
      </w:r>
      <w:r w:rsidR="00E21DCA">
        <w:rPr>
          <w:rFonts w:eastAsiaTheme="minorEastAsia" w:cs="Arial"/>
          <w:sz w:val="24"/>
          <w:szCs w:val="24"/>
          <w:lang w:eastAsia="zh-CN"/>
        </w:rPr>
        <w:t>Lindewitt</w:t>
      </w:r>
      <w:r w:rsidR="00881D6B">
        <w:rPr>
          <w:rFonts w:eastAsiaTheme="minorEastAsia" w:cs="Arial"/>
          <w:sz w:val="24"/>
          <w:szCs w:val="24"/>
          <w:lang w:eastAsia="zh-CN"/>
        </w:rPr>
        <w:t xml:space="preserve">, Gemarkung </w:t>
      </w:r>
      <w:r w:rsidR="00E21DCA">
        <w:rPr>
          <w:rFonts w:eastAsiaTheme="minorEastAsia" w:cs="Arial"/>
          <w:sz w:val="24"/>
          <w:szCs w:val="24"/>
          <w:lang w:eastAsia="zh-CN"/>
        </w:rPr>
        <w:t>Sillerup</w:t>
      </w:r>
      <w:r w:rsidR="00881D6B">
        <w:rPr>
          <w:rFonts w:eastAsiaTheme="minorEastAsia" w:cs="Arial"/>
          <w:sz w:val="24"/>
          <w:szCs w:val="24"/>
          <w:lang w:eastAsia="zh-CN"/>
        </w:rPr>
        <w:t xml:space="preserve">, Flur </w:t>
      </w:r>
      <w:r w:rsidR="00B52883">
        <w:rPr>
          <w:rFonts w:eastAsiaTheme="minorEastAsia" w:cs="Arial"/>
          <w:sz w:val="24"/>
          <w:szCs w:val="24"/>
          <w:lang w:eastAsia="zh-CN"/>
        </w:rPr>
        <w:t>9</w:t>
      </w:r>
      <w:r w:rsidR="00881D6B">
        <w:rPr>
          <w:rFonts w:eastAsiaTheme="minorEastAsia" w:cs="Arial"/>
          <w:sz w:val="24"/>
          <w:szCs w:val="24"/>
          <w:lang w:eastAsia="zh-CN"/>
        </w:rPr>
        <w:t xml:space="preserve">, Flurstücke </w:t>
      </w:r>
      <w:r w:rsidR="00B52883">
        <w:rPr>
          <w:rFonts w:eastAsiaTheme="minorEastAsia" w:cs="Arial"/>
          <w:sz w:val="24"/>
          <w:szCs w:val="24"/>
          <w:lang w:eastAsia="zh-CN"/>
        </w:rPr>
        <w:t>70-72 und 74-77 und Großenwiehe, Gemarkung Schobüll, Flur 9, Flurstücke 45/1 und 45/2</w:t>
      </w:r>
      <w:r w:rsidR="00881D6B">
        <w:rPr>
          <w:rFonts w:eastAsiaTheme="minorEastAsia" w:cs="Arial"/>
          <w:sz w:val="24"/>
          <w:szCs w:val="24"/>
          <w:lang w:eastAsia="zh-CN"/>
        </w:rPr>
        <w:t>.</w:t>
      </w:r>
      <w:r w:rsidR="00881D6B" w:rsidRPr="00881D6B">
        <w:rPr>
          <w:rFonts w:eastAsiaTheme="minorEastAsia" w:cs="Arial"/>
          <w:sz w:val="24"/>
          <w:szCs w:val="24"/>
          <w:lang w:eastAsia="zh-CN"/>
        </w:rPr>
        <w:t xml:space="preserve"> </w:t>
      </w:r>
      <w:r w:rsidR="005051A2">
        <w:rPr>
          <w:rFonts w:eastAsiaTheme="minorEastAsia" w:cs="Arial"/>
          <w:sz w:val="24"/>
          <w:szCs w:val="24"/>
          <w:lang w:eastAsia="zh-CN"/>
        </w:rPr>
        <w:t xml:space="preserve">Es handelt sich 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bei dem Bereich um eine </w:t>
      </w:r>
      <w:r>
        <w:rPr>
          <w:rFonts w:eastAsiaTheme="minorEastAsia" w:cs="Arial"/>
          <w:sz w:val="24"/>
          <w:szCs w:val="24"/>
          <w:lang w:eastAsia="zh-CN"/>
        </w:rPr>
        <w:t>Binnendüne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, die </w:t>
      </w:r>
      <w:r w:rsidR="002E38B3">
        <w:rPr>
          <w:rFonts w:eastAsiaTheme="minorEastAsia" w:cs="Arial"/>
          <w:sz w:val="24"/>
          <w:szCs w:val="24"/>
          <w:lang w:eastAsia="zh-CN"/>
        </w:rPr>
        <w:t>vor Jahrzehnten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 mit Nadelbaumarten aufgeforstet wurde. Infolge eines Sturmschadereignisses im Jahr 2013 sind große Teile des Baumbestandes geworfen worden</w:t>
      </w:r>
      <w:r w:rsidR="005051A2">
        <w:rPr>
          <w:rFonts w:eastAsiaTheme="minorEastAsia" w:cs="Arial"/>
          <w:sz w:val="24"/>
          <w:szCs w:val="24"/>
          <w:lang w:eastAsia="zh-CN"/>
        </w:rPr>
        <w:t>.</w:t>
      </w:r>
      <w:r w:rsidR="00E96015">
        <w:rPr>
          <w:rFonts w:eastAsiaTheme="minorEastAsia" w:cs="Arial"/>
          <w:sz w:val="24"/>
          <w:szCs w:val="24"/>
          <w:lang w:eastAsia="zh-CN"/>
        </w:rPr>
        <w:t xml:space="preserve"> 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Die Freiflächen befinden sich in Sukzession mit </w:t>
      </w:r>
      <w:r w:rsidR="009450FA">
        <w:rPr>
          <w:rFonts w:eastAsiaTheme="minorEastAsia" w:cs="Arial"/>
          <w:sz w:val="24"/>
          <w:szCs w:val="24"/>
          <w:lang w:eastAsia="zh-CN"/>
        </w:rPr>
        <w:t>hohen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 Anteilen Spätblühender Traubenkirsche. </w:t>
      </w:r>
      <w:r w:rsidR="002E38B3">
        <w:rPr>
          <w:rFonts w:eastAsiaTheme="minorEastAsia" w:cs="Arial"/>
          <w:sz w:val="24"/>
          <w:szCs w:val="24"/>
          <w:lang w:eastAsia="zh-CN"/>
        </w:rPr>
        <w:t>Ein Teil der Flurstücke befindet sich innerhalb des Landschaftsschutzgebietes ‚Seeland-Moor‘.</w:t>
      </w:r>
    </w:p>
    <w:p w:rsidR="00DB4211" w:rsidRPr="00DB4211" w:rsidRDefault="002E38B3" w:rsidP="006E16F0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>
        <w:rPr>
          <w:rFonts w:eastAsiaTheme="minorEastAsia" w:cs="Arial"/>
          <w:sz w:val="24"/>
          <w:szCs w:val="24"/>
          <w:lang w:eastAsia="zh-CN"/>
        </w:rPr>
        <w:t>Im Rahmen der Waldumwandlung soll ein Teil der</w:t>
      </w:r>
      <w:r w:rsidR="00B52883">
        <w:rPr>
          <w:rFonts w:eastAsiaTheme="minorEastAsia" w:cs="Arial"/>
          <w:sz w:val="24"/>
          <w:szCs w:val="24"/>
          <w:lang w:eastAsia="zh-CN"/>
        </w:rPr>
        <w:t xml:space="preserve"> </w:t>
      </w:r>
      <w:r>
        <w:rPr>
          <w:rFonts w:eastAsiaTheme="minorEastAsia" w:cs="Arial"/>
          <w:sz w:val="24"/>
          <w:szCs w:val="24"/>
          <w:lang w:eastAsia="zh-CN"/>
        </w:rPr>
        <w:t xml:space="preserve">verbliebenen </w:t>
      </w:r>
      <w:r w:rsidR="00B52883">
        <w:rPr>
          <w:rFonts w:eastAsiaTheme="minorEastAsia" w:cs="Arial"/>
          <w:sz w:val="24"/>
          <w:szCs w:val="24"/>
          <w:lang w:eastAsia="zh-CN"/>
        </w:rPr>
        <w:t>Nadel</w:t>
      </w:r>
      <w:r>
        <w:rPr>
          <w:rFonts w:eastAsiaTheme="minorEastAsia" w:cs="Arial"/>
          <w:sz w:val="24"/>
          <w:szCs w:val="24"/>
          <w:lang w:eastAsia="zh-CN"/>
        </w:rPr>
        <w:t>baumbestände und die zentral gelegenen Sukzessionsstadien entfernt werden. In den Randbereichen bleibt der Baum</w:t>
      </w:r>
      <w:r w:rsidR="006E16F0">
        <w:rPr>
          <w:rFonts w:eastAsiaTheme="minorEastAsia" w:cs="Arial"/>
          <w:sz w:val="24"/>
          <w:szCs w:val="24"/>
          <w:lang w:eastAsia="zh-CN"/>
        </w:rPr>
        <w:t>bestand als Pufferzone erhalten.</w:t>
      </w:r>
      <w:r>
        <w:rPr>
          <w:rFonts w:eastAsiaTheme="minorEastAsia" w:cs="Arial"/>
          <w:sz w:val="24"/>
          <w:szCs w:val="24"/>
          <w:lang w:eastAsia="zh-CN"/>
        </w:rPr>
        <w:t xml:space="preserve"> </w:t>
      </w:r>
      <w:r w:rsidR="006E16F0">
        <w:rPr>
          <w:rFonts w:eastAsiaTheme="minorEastAsia" w:cs="Arial"/>
          <w:sz w:val="24"/>
          <w:szCs w:val="24"/>
          <w:lang w:eastAsia="zh-CN"/>
        </w:rPr>
        <w:t>Die Binnendüne</w:t>
      </w:r>
      <w:r>
        <w:rPr>
          <w:rFonts w:eastAsiaTheme="minorEastAsia" w:cs="Arial"/>
          <w:sz w:val="24"/>
          <w:szCs w:val="24"/>
          <w:lang w:eastAsia="zh-CN"/>
        </w:rPr>
        <w:t xml:space="preserve"> soll zu einem</w:t>
      </w:r>
      <w:r w:rsidR="006E16F0">
        <w:rPr>
          <w:rFonts w:eastAsiaTheme="minorEastAsia" w:cs="Arial"/>
          <w:sz w:val="24"/>
          <w:szCs w:val="24"/>
          <w:lang w:eastAsia="zh-CN"/>
        </w:rPr>
        <w:t xml:space="preserve"> für </w:t>
      </w:r>
      <w:r w:rsidR="009450FA">
        <w:rPr>
          <w:rFonts w:eastAsiaTheme="minorEastAsia" w:cs="Arial"/>
          <w:sz w:val="24"/>
          <w:szCs w:val="24"/>
          <w:lang w:eastAsia="zh-CN"/>
        </w:rPr>
        <w:t>Binnendünen typischen</w:t>
      </w:r>
      <w:r w:rsidR="008247E0">
        <w:rPr>
          <w:rFonts w:eastAsiaTheme="minorEastAsia" w:cs="Arial"/>
          <w:sz w:val="24"/>
          <w:szCs w:val="24"/>
          <w:lang w:eastAsia="zh-CN"/>
        </w:rPr>
        <w:t xml:space="preserve"> Lebensraumtyp</w:t>
      </w:r>
      <w:r w:rsidR="006E16F0">
        <w:rPr>
          <w:rFonts w:eastAsiaTheme="minorEastAsia" w:cs="Arial"/>
          <w:sz w:val="24"/>
          <w:szCs w:val="24"/>
          <w:lang w:eastAsia="zh-CN"/>
        </w:rPr>
        <w:t xml:space="preserve"> (LRT </w:t>
      </w:r>
      <w:r w:rsidR="006E16F0" w:rsidRPr="006E16F0">
        <w:rPr>
          <w:rFonts w:eastAsiaTheme="minorEastAsia" w:cs="Arial"/>
          <w:sz w:val="24"/>
          <w:szCs w:val="24"/>
          <w:lang w:eastAsia="zh-CN"/>
        </w:rPr>
        <w:t>2310 „</w:t>
      </w:r>
      <w:proofErr w:type="spellStart"/>
      <w:r w:rsidR="006E16F0" w:rsidRPr="006E16F0">
        <w:rPr>
          <w:rFonts w:eastAsiaTheme="minorEastAsia" w:cs="Arial"/>
          <w:sz w:val="24"/>
          <w:szCs w:val="24"/>
          <w:lang w:eastAsia="zh-CN"/>
        </w:rPr>
        <w:t>Sandheiden</w:t>
      </w:r>
      <w:proofErr w:type="spellEnd"/>
      <w:r w:rsidR="006E16F0" w:rsidRPr="006E16F0">
        <w:rPr>
          <w:rFonts w:eastAsiaTheme="minorEastAsia" w:cs="Arial"/>
          <w:sz w:val="24"/>
          <w:szCs w:val="24"/>
          <w:lang w:eastAsia="zh-CN"/>
        </w:rPr>
        <w:t>“, 6230 „</w:t>
      </w:r>
      <w:proofErr w:type="spellStart"/>
      <w:r w:rsidR="006E16F0" w:rsidRPr="006E16F0">
        <w:rPr>
          <w:rFonts w:eastAsiaTheme="minorEastAsia" w:cs="Arial"/>
          <w:sz w:val="24"/>
          <w:szCs w:val="24"/>
          <w:lang w:eastAsia="zh-CN"/>
        </w:rPr>
        <w:t>Borstgrasrasen</w:t>
      </w:r>
      <w:proofErr w:type="spellEnd"/>
      <w:r w:rsidR="009450FA" w:rsidRPr="006E16F0">
        <w:rPr>
          <w:rFonts w:eastAsiaTheme="minorEastAsia" w:cs="Arial"/>
          <w:sz w:val="24"/>
          <w:szCs w:val="24"/>
          <w:lang w:eastAsia="zh-CN"/>
        </w:rPr>
        <w:t>“</w:t>
      </w:r>
      <w:r w:rsidR="009450FA">
        <w:rPr>
          <w:rFonts w:eastAsiaTheme="minorEastAsia" w:cs="Arial"/>
          <w:sz w:val="24"/>
          <w:szCs w:val="24"/>
          <w:lang w:eastAsia="zh-CN"/>
        </w:rPr>
        <w:t>)</w:t>
      </w:r>
      <w:r w:rsidR="009450FA" w:rsidRPr="006E16F0">
        <w:rPr>
          <w:rFonts w:eastAsiaTheme="minorEastAsia" w:cs="Arial"/>
          <w:sz w:val="24"/>
          <w:szCs w:val="24"/>
          <w:lang w:eastAsia="zh-CN"/>
        </w:rPr>
        <w:t xml:space="preserve"> </w:t>
      </w:r>
      <w:r w:rsidR="009450FA">
        <w:rPr>
          <w:rFonts w:eastAsiaTheme="minorEastAsia" w:cs="Arial"/>
          <w:sz w:val="24"/>
          <w:szCs w:val="24"/>
          <w:lang w:eastAsia="zh-CN"/>
        </w:rPr>
        <w:t>entwickelt</w:t>
      </w:r>
      <w:r w:rsidR="008247E0">
        <w:rPr>
          <w:rFonts w:eastAsiaTheme="minorEastAsia" w:cs="Arial"/>
          <w:sz w:val="24"/>
          <w:szCs w:val="24"/>
          <w:lang w:eastAsia="zh-CN"/>
        </w:rPr>
        <w:t xml:space="preserve"> werden.</w:t>
      </w:r>
      <w:r w:rsidR="006E16F0">
        <w:rPr>
          <w:rFonts w:eastAsiaTheme="minorEastAsia" w:cs="Arial"/>
          <w:sz w:val="24"/>
          <w:szCs w:val="24"/>
          <w:lang w:eastAsia="zh-CN"/>
        </w:rPr>
        <w:t xml:space="preserve"> Es ist eine Beweidung zur Offenhaltung vorgesehen, sowie ein Umbau der Gehölzränder in standortheimische Baumarten</w:t>
      </w:r>
      <w:r w:rsidR="009450FA">
        <w:rPr>
          <w:rFonts w:eastAsiaTheme="minorEastAsia" w:cs="Arial"/>
          <w:sz w:val="24"/>
          <w:szCs w:val="24"/>
          <w:lang w:eastAsia="zh-CN"/>
        </w:rPr>
        <w:t xml:space="preserve"> (Stieleiche)</w:t>
      </w:r>
      <w:r w:rsidR="006E16F0">
        <w:rPr>
          <w:rFonts w:eastAsiaTheme="minorEastAsia" w:cs="Arial"/>
          <w:sz w:val="24"/>
          <w:szCs w:val="24"/>
          <w:lang w:eastAsia="zh-CN"/>
        </w:rPr>
        <w:t xml:space="preserve">. </w:t>
      </w:r>
    </w:p>
    <w:p w:rsidR="00DB4211" w:rsidRPr="00DB4211" w:rsidRDefault="00DB4211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 w:rsidRPr="00DB4211">
        <w:rPr>
          <w:rFonts w:eastAsiaTheme="minorEastAsia" w:cs="Arial"/>
          <w:sz w:val="24"/>
          <w:szCs w:val="24"/>
          <w:lang w:eastAsia="zh-CN"/>
        </w:rPr>
        <w:t>Das Vorhaben bedarf einer Genehmigung nach §</w:t>
      </w:r>
      <w:r w:rsidR="00881D6B">
        <w:rPr>
          <w:rFonts w:eastAsiaTheme="minorEastAsia" w:cs="Arial"/>
          <w:sz w:val="24"/>
          <w:szCs w:val="24"/>
          <w:lang w:eastAsia="zh-CN"/>
        </w:rPr>
        <w:t xml:space="preserve"> 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9 </w:t>
      </w:r>
      <w:r w:rsidR="00881D6B">
        <w:rPr>
          <w:rFonts w:eastAsiaTheme="minorEastAsia" w:cs="Arial"/>
          <w:sz w:val="24"/>
          <w:szCs w:val="24"/>
          <w:lang w:eastAsia="zh-CN"/>
        </w:rPr>
        <w:t xml:space="preserve">Abs. 1 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LWaldG. </w:t>
      </w:r>
    </w:p>
    <w:p w:rsidR="00881D6B" w:rsidRDefault="00881D6B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 w:rsidRPr="00881D6B">
        <w:rPr>
          <w:rFonts w:eastAsiaTheme="minorEastAsia" w:cs="Arial"/>
          <w:sz w:val="24"/>
          <w:szCs w:val="24"/>
          <w:lang w:eastAsia="zh-CN"/>
        </w:rPr>
        <w:t>Nach den §§ 5, 7 ff. des Gesetzes über die Umweltverträglichkeitsprüfung (UVPG) in Verbindung mit der Nummer 17.2.</w:t>
      </w:r>
      <w:r w:rsidR="009450FA">
        <w:rPr>
          <w:rFonts w:eastAsiaTheme="minorEastAsia" w:cs="Arial"/>
          <w:sz w:val="24"/>
          <w:szCs w:val="24"/>
          <w:lang w:eastAsia="zh-CN"/>
        </w:rPr>
        <w:t>2</w:t>
      </w:r>
      <w:r w:rsidRPr="00881D6B">
        <w:rPr>
          <w:rFonts w:eastAsiaTheme="minorEastAsia" w:cs="Arial"/>
          <w:sz w:val="24"/>
          <w:szCs w:val="24"/>
          <w:lang w:eastAsia="zh-CN"/>
        </w:rPr>
        <w:t xml:space="preserve"> Spalte 2 der Anlage 1 zum UVPG ist für die geplante Rodung von Wald im Sinne des Bundeswaldgesetzes zum Zwecke der Umwandlung in eine andere Nutzungsart von </w:t>
      </w:r>
      <w:r w:rsidR="00041704">
        <w:rPr>
          <w:rFonts w:eastAsiaTheme="minorEastAsia" w:cs="Arial"/>
          <w:sz w:val="24"/>
          <w:szCs w:val="24"/>
          <w:lang w:eastAsia="zh-CN"/>
        </w:rPr>
        <w:t>5</w:t>
      </w:r>
      <w:r w:rsidRPr="00881D6B">
        <w:rPr>
          <w:rFonts w:eastAsiaTheme="minorEastAsia" w:cs="Arial"/>
          <w:sz w:val="24"/>
          <w:szCs w:val="24"/>
          <w:lang w:eastAsia="zh-CN"/>
        </w:rPr>
        <w:t xml:space="preserve"> ha bis weniger </w:t>
      </w:r>
      <w:bookmarkStart w:id="0" w:name="_GoBack"/>
      <w:bookmarkEnd w:id="0"/>
      <w:r w:rsidR="001343BD" w:rsidRPr="00881D6B">
        <w:rPr>
          <w:rFonts w:eastAsiaTheme="minorEastAsia" w:cs="Arial"/>
          <w:sz w:val="24"/>
          <w:szCs w:val="24"/>
          <w:lang w:eastAsia="zh-CN"/>
        </w:rPr>
        <w:t>als 10</w:t>
      </w:r>
      <w:r w:rsidR="00041704">
        <w:rPr>
          <w:rFonts w:eastAsiaTheme="minorEastAsia" w:cs="Arial"/>
          <w:sz w:val="24"/>
          <w:szCs w:val="24"/>
          <w:lang w:eastAsia="zh-CN"/>
        </w:rPr>
        <w:t xml:space="preserve"> </w:t>
      </w:r>
      <w:r w:rsidRPr="00881D6B">
        <w:rPr>
          <w:rFonts w:eastAsiaTheme="minorEastAsia" w:cs="Arial"/>
          <w:sz w:val="24"/>
          <w:szCs w:val="24"/>
          <w:lang w:eastAsia="zh-CN"/>
        </w:rPr>
        <w:t xml:space="preserve">ha Wald zur Feststellung der UVP-Pflicht </w:t>
      </w:r>
      <w:r w:rsidR="005B5C1E">
        <w:rPr>
          <w:rFonts w:eastAsiaTheme="minorEastAsia" w:cs="Arial"/>
          <w:sz w:val="24"/>
          <w:szCs w:val="24"/>
          <w:lang w:eastAsia="zh-CN"/>
        </w:rPr>
        <w:t xml:space="preserve">eine </w:t>
      </w:r>
      <w:r w:rsidR="00041704">
        <w:rPr>
          <w:rFonts w:eastAsiaTheme="minorEastAsia" w:cs="Arial"/>
          <w:sz w:val="24"/>
          <w:szCs w:val="24"/>
          <w:lang w:eastAsia="zh-CN"/>
        </w:rPr>
        <w:t>allgemeine</w:t>
      </w:r>
      <w:r w:rsidRPr="00881D6B">
        <w:rPr>
          <w:rFonts w:eastAsiaTheme="minorEastAsia" w:cs="Arial"/>
          <w:sz w:val="24"/>
          <w:szCs w:val="24"/>
          <w:lang w:eastAsia="zh-CN"/>
        </w:rPr>
        <w:t xml:space="preserve"> Vorprüfung</w:t>
      </w:r>
      <w:r w:rsidR="009450FA">
        <w:rPr>
          <w:rFonts w:eastAsiaTheme="minorEastAsia" w:cs="Arial"/>
          <w:sz w:val="24"/>
          <w:szCs w:val="24"/>
          <w:lang w:eastAsia="zh-CN"/>
        </w:rPr>
        <w:t xml:space="preserve"> des Einzelfalls</w:t>
      </w:r>
      <w:r w:rsidRPr="00881D6B">
        <w:rPr>
          <w:rFonts w:eastAsiaTheme="minorEastAsia" w:cs="Arial"/>
          <w:sz w:val="24"/>
          <w:szCs w:val="24"/>
          <w:lang w:eastAsia="zh-CN"/>
        </w:rPr>
        <w:t xml:space="preserve"> durchzuführen.</w:t>
      </w:r>
      <w:r>
        <w:rPr>
          <w:rFonts w:eastAsiaTheme="minorEastAsia" w:cs="Arial"/>
          <w:sz w:val="24"/>
          <w:szCs w:val="24"/>
          <w:lang w:eastAsia="zh-CN"/>
        </w:rPr>
        <w:t xml:space="preserve"> </w:t>
      </w:r>
    </w:p>
    <w:p w:rsidR="00DB4211" w:rsidRPr="00DB4211" w:rsidRDefault="00DB4211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 w:rsidRPr="00DB4211">
        <w:rPr>
          <w:rFonts w:eastAsiaTheme="minorEastAsia" w:cs="Arial"/>
          <w:sz w:val="24"/>
          <w:szCs w:val="24"/>
          <w:lang w:eastAsia="zh-CN"/>
        </w:rPr>
        <w:t>Die überschlägige Prüfung anhand der eingereichten Unterlagen hat ergeben, da</w:t>
      </w:r>
      <w:r w:rsidR="008C2626">
        <w:rPr>
          <w:rFonts w:eastAsiaTheme="minorEastAsia" w:cs="Arial"/>
          <w:sz w:val="24"/>
          <w:szCs w:val="24"/>
          <w:lang w:eastAsia="zh-CN"/>
        </w:rPr>
        <w:t>ss eine</w:t>
      </w:r>
      <w:r w:rsidR="00A709C8">
        <w:rPr>
          <w:rFonts w:eastAsiaTheme="minorEastAsia" w:cs="Arial"/>
          <w:sz w:val="24"/>
          <w:szCs w:val="24"/>
          <w:lang w:eastAsia="zh-CN"/>
        </w:rPr>
        <w:t xml:space="preserve"> Umweltverträglichkeitsprüfung </w:t>
      </w:r>
      <w:r w:rsidRPr="00DB4211">
        <w:rPr>
          <w:rFonts w:eastAsiaTheme="minorEastAsia" w:cs="Arial"/>
          <w:sz w:val="24"/>
          <w:szCs w:val="24"/>
          <w:lang w:eastAsia="zh-CN"/>
        </w:rPr>
        <w:t>unter Berü</w:t>
      </w:r>
      <w:r w:rsidR="00E96015">
        <w:rPr>
          <w:rFonts w:eastAsiaTheme="minorEastAsia" w:cs="Arial"/>
          <w:sz w:val="24"/>
          <w:szCs w:val="24"/>
          <w:lang w:eastAsia="zh-CN"/>
        </w:rPr>
        <w:t>cksichtigung der in der Anlage 3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 zum UVPG aufgeführten Kriterien nicht erforderlich ist, da das Vorhaben keine erheblichen nachteiligen Umweltauswirkungen erwarten lässt</w:t>
      </w:r>
      <w:r w:rsidR="0050337D">
        <w:rPr>
          <w:rFonts w:eastAsiaTheme="minorEastAsia" w:cs="Arial"/>
          <w:sz w:val="24"/>
          <w:szCs w:val="24"/>
          <w:lang w:eastAsia="zh-CN"/>
        </w:rPr>
        <w:t>.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 </w:t>
      </w:r>
      <w:r w:rsidR="00A709C8">
        <w:rPr>
          <w:rFonts w:eastAsiaTheme="minorEastAsia" w:cs="Arial"/>
          <w:sz w:val="24"/>
          <w:szCs w:val="24"/>
          <w:lang w:eastAsia="zh-CN"/>
        </w:rPr>
        <w:t>Die wesentlichen Gründe dafür sind, dass das Vorhaben naturschutzfachlichen Ziel</w:t>
      </w:r>
      <w:r w:rsidR="007D520E">
        <w:rPr>
          <w:rFonts w:eastAsiaTheme="minorEastAsia" w:cs="Arial"/>
          <w:sz w:val="24"/>
          <w:szCs w:val="24"/>
          <w:lang w:eastAsia="zh-CN"/>
        </w:rPr>
        <w:t>setzungen entspricht. Die Freistellung, Pflege und Erhaltung von Binnendünen und den zugehörigen Lebensraumtypen ist von besonderer Bedeutung für die biologische Vielfalt</w:t>
      </w:r>
      <w:r w:rsidR="009450FA">
        <w:rPr>
          <w:rFonts w:eastAsiaTheme="minorEastAsia" w:cs="Arial"/>
          <w:sz w:val="24"/>
          <w:szCs w:val="24"/>
          <w:lang w:eastAsia="zh-CN"/>
        </w:rPr>
        <w:t xml:space="preserve"> und überwiegt hier das Interesse an der </w:t>
      </w:r>
      <w:r w:rsidR="009450FA">
        <w:rPr>
          <w:rFonts w:eastAsiaTheme="minorEastAsia" w:cs="Arial"/>
          <w:sz w:val="24"/>
          <w:szCs w:val="24"/>
          <w:lang w:eastAsia="zh-CN"/>
        </w:rPr>
        <w:lastRenderedPageBreak/>
        <w:t>Walderhaltung</w:t>
      </w:r>
      <w:r w:rsidR="007D520E">
        <w:rPr>
          <w:rFonts w:eastAsiaTheme="minorEastAsia" w:cs="Arial"/>
          <w:sz w:val="24"/>
          <w:szCs w:val="24"/>
          <w:lang w:eastAsia="zh-CN"/>
        </w:rPr>
        <w:t xml:space="preserve">. Artenschutzrechtliche Belange werden durch entsprechende Auflagen berücksichtigt. </w:t>
      </w:r>
    </w:p>
    <w:p w:rsidR="00DB4211" w:rsidRPr="00DB4211" w:rsidRDefault="00DB4211" w:rsidP="003D7179">
      <w:pPr>
        <w:spacing w:line="360" w:lineRule="auto"/>
        <w:jc w:val="both"/>
        <w:rPr>
          <w:rFonts w:eastAsiaTheme="minorEastAsia" w:cs="Arial"/>
          <w:sz w:val="24"/>
          <w:szCs w:val="24"/>
          <w:lang w:eastAsia="zh-CN"/>
        </w:rPr>
      </w:pPr>
      <w:r w:rsidRPr="00DB4211">
        <w:rPr>
          <w:rFonts w:eastAsiaTheme="minorEastAsia" w:cs="Arial"/>
          <w:sz w:val="24"/>
          <w:szCs w:val="24"/>
          <w:lang w:eastAsia="zh-CN"/>
        </w:rPr>
        <w:t>Diese Feststellung ist nach §</w:t>
      </w:r>
      <w:r w:rsidR="00A709C8">
        <w:rPr>
          <w:rFonts w:eastAsiaTheme="minorEastAsia" w:cs="Arial"/>
          <w:sz w:val="24"/>
          <w:szCs w:val="24"/>
          <w:lang w:eastAsia="zh-CN"/>
        </w:rPr>
        <w:t xml:space="preserve"> 5 Abs. </w:t>
      </w:r>
      <w:r w:rsidRPr="00DB4211">
        <w:rPr>
          <w:rFonts w:eastAsiaTheme="minorEastAsia" w:cs="Arial"/>
          <w:sz w:val="24"/>
          <w:szCs w:val="24"/>
          <w:lang w:eastAsia="zh-CN"/>
        </w:rPr>
        <w:t>3</w:t>
      </w:r>
      <w:r w:rsidR="00A709C8">
        <w:rPr>
          <w:rFonts w:eastAsiaTheme="minorEastAsia" w:cs="Arial"/>
          <w:sz w:val="24"/>
          <w:szCs w:val="24"/>
          <w:lang w:eastAsia="zh-CN"/>
        </w:rPr>
        <w:t xml:space="preserve"> </w:t>
      </w:r>
      <w:r w:rsidRPr="00DB4211">
        <w:rPr>
          <w:rFonts w:eastAsiaTheme="minorEastAsia" w:cs="Arial"/>
          <w:sz w:val="24"/>
          <w:szCs w:val="24"/>
          <w:lang w:eastAsia="zh-CN"/>
        </w:rPr>
        <w:t xml:space="preserve">UVPG nicht selbstständig anfechtbar. </w:t>
      </w:r>
    </w:p>
    <w:p w:rsidR="008F4012" w:rsidRPr="00DB4211" w:rsidRDefault="00DB4211" w:rsidP="003D7179">
      <w:pPr>
        <w:pStyle w:val="Textkrper-Zeileneinzug"/>
        <w:spacing w:line="360" w:lineRule="auto"/>
        <w:ind w:left="0"/>
        <w:jc w:val="both"/>
        <w:rPr>
          <w:rFonts w:cs="Arial"/>
          <w:szCs w:val="24"/>
        </w:rPr>
      </w:pPr>
      <w:r w:rsidRPr="00DB4211">
        <w:rPr>
          <w:rFonts w:eastAsiaTheme="minorEastAsia" w:cs="Arial"/>
          <w:szCs w:val="24"/>
          <w:lang w:eastAsia="zh-CN"/>
        </w:rPr>
        <w:t>Die Unterlagen können auf Antrag nach den Bestimmungen des Informationszugangsgesetzes für das Land Schleswig-Holstein (IZG-SH) beim Landesamt für Landwirtschaft</w:t>
      </w:r>
      <w:r w:rsidR="00A709C8">
        <w:rPr>
          <w:rFonts w:eastAsiaTheme="minorEastAsia" w:cs="Arial"/>
          <w:szCs w:val="24"/>
          <w:lang w:eastAsia="zh-CN"/>
        </w:rPr>
        <w:t xml:space="preserve"> und nachhaltige Landentwicklung</w:t>
      </w:r>
      <w:r w:rsidRPr="00DB4211">
        <w:rPr>
          <w:rFonts w:eastAsiaTheme="minorEastAsia" w:cs="Arial"/>
          <w:szCs w:val="24"/>
          <w:lang w:eastAsia="zh-CN"/>
        </w:rPr>
        <w:t>– untere Forstbehörde - des Landes Schleswig-Holstein, Standort Flensburg, Bahnhofstraße 38, 24937 Flensburg zugänglich gemacht werden.</w:t>
      </w:r>
    </w:p>
    <w:sectPr w:rsidR="008F4012" w:rsidRPr="00DB4211" w:rsidSect="0071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FC" w:rsidRDefault="003B2FFC" w:rsidP="008C2626">
      <w:r>
        <w:separator/>
      </w:r>
    </w:p>
  </w:endnote>
  <w:endnote w:type="continuationSeparator" w:id="0">
    <w:p w:rsidR="003B2FFC" w:rsidRDefault="003B2FFC" w:rsidP="008C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FC" w:rsidRDefault="003B2FFC" w:rsidP="008C2626">
      <w:r>
        <w:separator/>
      </w:r>
    </w:p>
  </w:footnote>
  <w:footnote w:type="continuationSeparator" w:id="0">
    <w:p w:rsidR="003B2FFC" w:rsidRDefault="003B2FFC" w:rsidP="008C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26" w:rsidRDefault="008C26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33D0"/>
    <w:multiLevelType w:val="hybridMultilevel"/>
    <w:tmpl w:val="215E5384"/>
    <w:lvl w:ilvl="0" w:tplc="788618A6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8"/>
    <w:rsid w:val="00024890"/>
    <w:rsid w:val="00027A34"/>
    <w:rsid w:val="00041704"/>
    <w:rsid w:val="000544D9"/>
    <w:rsid w:val="000707A0"/>
    <w:rsid w:val="00080C7F"/>
    <w:rsid w:val="00082022"/>
    <w:rsid w:val="00082635"/>
    <w:rsid w:val="00083ABB"/>
    <w:rsid w:val="00092F17"/>
    <w:rsid w:val="00093D47"/>
    <w:rsid w:val="000965DC"/>
    <w:rsid w:val="000A6893"/>
    <w:rsid w:val="000B0176"/>
    <w:rsid w:val="000D0CA1"/>
    <w:rsid w:val="000F27C8"/>
    <w:rsid w:val="00107D10"/>
    <w:rsid w:val="001105B5"/>
    <w:rsid w:val="001110D2"/>
    <w:rsid w:val="00126490"/>
    <w:rsid w:val="001343BD"/>
    <w:rsid w:val="00136EAD"/>
    <w:rsid w:val="001419C1"/>
    <w:rsid w:val="0014797C"/>
    <w:rsid w:val="001544C3"/>
    <w:rsid w:val="0016667F"/>
    <w:rsid w:val="00171004"/>
    <w:rsid w:val="001816F9"/>
    <w:rsid w:val="00192B5A"/>
    <w:rsid w:val="00196813"/>
    <w:rsid w:val="001B1B16"/>
    <w:rsid w:val="001E06A8"/>
    <w:rsid w:val="001E3585"/>
    <w:rsid w:val="001F02FA"/>
    <w:rsid w:val="001F26E6"/>
    <w:rsid w:val="001F30D2"/>
    <w:rsid w:val="00202559"/>
    <w:rsid w:val="00205FE0"/>
    <w:rsid w:val="002061A2"/>
    <w:rsid w:val="002170CB"/>
    <w:rsid w:val="002445D8"/>
    <w:rsid w:val="00247402"/>
    <w:rsid w:val="00291FB1"/>
    <w:rsid w:val="002A08C6"/>
    <w:rsid w:val="002B2143"/>
    <w:rsid w:val="002B5139"/>
    <w:rsid w:val="002E38B3"/>
    <w:rsid w:val="002F362C"/>
    <w:rsid w:val="003702D8"/>
    <w:rsid w:val="00380556"/>
    <w:rsid w:val="003A62ED"/>
    <w:rsid w:val="003B1F77"/>
    <w:rsid w:val="003B2FFC"/>
    <w:rsid w:val="003C292F"/>
    <w:rsid w:val="003C57BC"/>
    <w:rsid w:val="003C6D2A"/>
    <w:rsid w:val="003D2FB5"/>
    <w:rsid w:val="003D4B39"/>
    <w:rsid w:val="003D7179"/>
    <w:rsid w:val="003E297C"/>
    <w:rsid w:val="003E36B4"/>
    <w:rsid w:val="003E6953"/>
    <w:rsid w:val="0042487B"/>
    <w:rsid w:val="0043365F"/>
    <w:rsid w:val="00433DF7"/>
    <w:rsid w:val="00434D28"/>
    <w:rsid w:val="00437623"/>
    <w:rsid w:val="00443B43"/>
    <w:rsid w:val="0044447C"/>
    <w:rsid w:val="00461BF7"/>
    <w:rsid w:val="0047479B"/>
    <w:rsid w:val="004E6E7A"/>
    <w:rsid w:val="00500B75"/>
    <w:rsid w:val="0050337D"/>
    <w:rsid w:val="005051A2"/>
    <w:rsid w:val="005072C0"/>
    <w:rsid w:val="005226E5"/>
    <w:rsid w:val="00543A97"/>
    <w:rsid w:val="005761D0"/>
    <w:rsid w:val="0059340C"/>
    <w:rsid w:val="005939D8"/>
    <w:rsid w:val="005A2761"/>
    <w:rsid w:val="005B2542"/>
    <w:rsid w:val="005B292D"/>
    <w:rsid w:val="005B5C1E"/>
    <w:rsid w:val="005C15DF"/>
    <w:rsid w:val="005D682F"/>
    <w:rsid w:val="005E746C"/>
    <w:rsid w:val="00635588"/>
    <w:rsid w:val="006804C6"/>
    <w:rsid w:val="00684432"/>
    <w:rsid w:val="006D3B15"/>
    <w:rsid w:val="006D6397"/>
    <w:rsid w:val="006E16F0"/>
    <w:rsid w:val="006F7D15"/>
    <w:rsid w:val="00703471"/>
    <w:rsid w:val="0071725C"/>
    <w:rsid w:val="00721A77"/>
    <w:rsid w:val="00725B01"/>
    <w:rsid w:val="007558E2"/>
    <w:rsid w:val="00767A26"/>
    <w:rsid w:val="00775F1B"/>
    <w:rsid w:val="0079439A"/>
    <w:rsid w:val="007A6A69"/>
    <w:rsid w:val="007C10CA"/>
    <w:rsid w:val="007D520E"/>
    <w:rsid w:val="007E5EDA"/>
    <w:rsid w:val="00811343"/>
    <w:rsid w:val="008247E0"/>
    <w:rsid w:val="0083204B"/>
    <w:rsid w:val="00881D6B"/>
    <w:rsid w:val="008B0E9C"/>
    <w:rsid w:val="008C2626"/>
    <w:rsid w:val="008D577D"/>
    <w:rsid w:val="008F24F9"/>
    <w:rsid w:val="008F4012"/>
    <w:rsid w:val="00923987"/>
    <w:rsid w:val="00932152"/>
    <w:rsid w:val="00945064"/>
    <w:rsid w:val="009450FA"/>
    <w:rsid w:val="00985215"/>
    <w:rsid w:val="0098716A"/>
    <w:rsid w:val="00995241"/>
    <w:rsid w:val="00997DC3"/>
    <w:rsid w:val="009C771C"/>
    <w:rsid w:val="009D0112"/>
    <w:rsid w:val="009D340C"/>
    <w:rsid w:val="009D42E6"/>
    <w:rsid w:val="009E33A4"/>
    <w:rsid w:val="00A21EC6"/>
    <w:rsid w:val="00A33007"/>
    <w:rsid w:val="00A40937"/>
    <w:rsid w:val="00A54A44"/>
    <w:rsid w:val="00A709C8"/>
    <w:rsid w:val="00A71F2A"/>
    <w:rsid w:val="00A907F4"/>
    <w:rsid w:val="00AA2D34"/>
    <w:rsid w:val="00AA47BC"/>
    <w:rsid w:val="00AB6A12"/>
    <w:rsid w:val="00AB6C9D"/>
    <w:rsid w:val="00AB7B28"/>
    <w:rsid w:val="00AC41F0"/>
    <w:rsid w:val="00AF3EE4"/>
    <w:rsid w:val="00AF6AF7"/>
    <w:rsid w:val="00B02060"/>
    <w:rsid w:val="00B333EE"/>
    <w:rsid w:val="00B40AB9"/>
    <w:rsid w:val="00B467B1"/>
    <w:rsid w:val="00B52883"/>
    <w:rsid w:val="00B563FD"/>
    <w:rsid w:val="00B64655"/>
    <w:rsid w:val="00B905BD"/>
    <w:rsid w:val="00B93B3A"/>
    <w:rsid w:val="00BA5C25"/>
    <w:rsid w:val="00BC5DCE"/>
    <w:rsid w:val="00BC723E"/>
    <w:rsid w:val="00BD162B"/>
    <w:rsid w:val="00BE087E"/>
    <w:rsid w:val="00C01B85"/>
    <w:rsid w:val="00C0571B"/>
    <w:rsid w:val="00C10D7D"/>
    <w:rsid w:val="00C16822"/>
    <w:rsid w:val="00C754C0"/>
    <w:rsid w:val="00C95817"/>
    <w:rsid w:val="00CB2A21"/>
    <w:rsid w:val="00CD0F6E"/>
    <w:rsid w:val="00CD24B1"/>
    <w:rsid w:val="00CD3CEB"/>
    <w:rsid w:val="00CF5665"/>
    <w:rsid w:val="00D26C6B"/>
    <w:rsid w:val="00D32130"/>
    <w:rsid w:val="00D53B66"/>
    <w:rsid w:val="00D55F67"/>
    <w:rsid w:val="00D87FE8"/>
    <w:rsid w:val="00D9647A"/>
    <w:rsid w:val="00D96B66"/>
    <w:rsid w:val="00DB4211"/>
    <w:rsid w:val="00DB7D70"/>
    <w:rsid w:val="00DC0BB5"/>
    <w:rsid w:val="00DD1229"/>
    <w:rsid w:val="00DD598D"/>
    <w:rsid w:val="00DE19E4"/>
    <w:rsid w:val="00E02408"/>
    <w:rsid w:val="00E05104"/>
    <w:rsid w:val="00E1653E"/>
    <w:rsid w:val="00E20CC3"/>
    <w:rsid w:val="00E21DCA"/>
    <w:rsid w:val="00E534F6"/>
    <w:rsid w:val="00E57A01"/>
    <w:rsid w:val="00E7687A"/>
    <w:rsid w:val="00E76DA4"/>
    <w:rsid w:val="00E96015"/>
    <w:rsid w:val="00EA353B"/>
    <w:rsid w:val="00EB5A79"/>
    <w:rsid w:val="00EB6217"/>
    <w:rsid w:val="00EC25CD"/>
    <w:rsid w:val="00EE7261"/>
    <w:rsid w:val="00F308A3"/>
    <w:rsid w:val="00F373FF"/>
    <w:rsid w:val="00F37CF4"/>
    <w:rsid w:val="00F42BA0"/>
    <w:rsid w:val="00F45D42"/>
    <w:rsid w:val="00F607AF"/>
    <w:rsid w:val="00F72D66"/>
    <w:rsid w:val="00F831DD"/>
    <w:rsid w:val="00F86D86"/>
    <w:rsid w:val="00FB3B76"/>
    <w:rsid w:val="00FC5CA7"/>
    <w:rsid w:val="00FC7A76"/>
    <w:rsid w:val="00FD5BD3"/>
    <w:rsid w:val="00FE7719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CA60B0"/>
  <w15:docId w15:val="{16A86A29-21C6-40EE-868A-481285E7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</w:rPr>
  </w:style>
  <w:style w:type="paragraph" w:styleId="berschrift6">
    <w:name w:val="heading 6"/>
    <w:basedOn w:val="Standard"/>
    <w:next w:val="Standard"/>
    <w:qFormat/>
    <w:rsid w:val="006D3B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ind w:left="708" w:right="-144"/>
    </w:pPr>
    <w:rPr>
      <w:sz w:val="24"/>
    </w:rPr>
  </w:style>
  <w:style w:type="paragraph" w:styleId="Textkrper-Zeileneinzug">
    <w:name w:val="Body Text Indent"/>
    <w:basedOn w:val="Standard"/>
    <w:link w:val="Textkrper-ZeileneinzugZchn"/>
    <w:pPr>
      <w:ind w:left="426"/>
    </w:pPr>
    <w:rPr>
      <w:sz w:val="24"/>
    </w:rPr>
  </w:style>
  <w:style w:type="paragraph" w:styleId="Sprechblasentext">
    <w:name w:val="Balloon Text"/>
    <w:basedOn w:val="Standard"/>
    <w:semiHidden/>
    <w:rsid w:val="00CD24B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B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FE771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Textkrper-ZeileneinzugZchn">
    <w:name w:val="Textkörper-Zeileneinzug Zchn"/>
    <w:link w:val="Textkrper-Zeileneinzug"/>
    <w:rsid w:val="009D0112"/>
    <w:rPr>
      <w:rFonts w:ascii="Arial" w:hAnsi="Arial"/>
      <w:sz w:val="24"/>
      <w:lang w:eastAsia="de-DE"/>
    </w:rPr>
  </w:style>
  <w:style w:type="paragraph" w:styleId="Kopfzeile">
    <w:name w:val="header"/>
    <w:basedOn w:val="Standard"/>
    <w:link w:val="KopfzeileZchn"/>
    <w:unhideWhenUsed/>
    <w:rsid w:val="008C26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2626"/>
    <w:rPr>
      <w:rFonts w:ascii="Arial" w:hAnsi="Arial"/>
      <w:sz w:val="22"/>
      <w:lang w:eastAsia="de-DE"/>
    </w:rPr>
  </w:style>
  <w:style w:type="paragraph" w:styleId="Textkrper">
    <w:name w:val="Body Text"/>
    <w:basedOn w:val="Standard"/>
    <w:link w:val="TextkrperZchn"/>
    <w:unhideWhenUsed/>
    <w:rsid w:val="002E38B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2E38B3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Feststellung der UVP-Pflicht</vt:lpstr>
    </vt:vector>
  </TitlesOfParts>
  <Company>Schleswig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Feststellung der UVP-Pflicht</dc:title>
  <dc:creator>123</dc:creator>
  <cp:lastModifiedBy>Thiele, Julia (LLUR)</cp:lastModifiedBy>
  <cp:revision>10</cp:revision>
  <cp:lastPrinted>2023-05-16T13:54:00Z</cp:lastPrinted>
  <dcterms:created xsi:type="dcterms:W3CDTF">2023-06-09T07:42:00Z</dcterms:created>
  <dcterms:modified xsi:type="dcterms:W3CDTF">2023-12-11T13:31:00Z</dcterms:modified>
</cp:coreProperties>
</file>