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 xml:space="preserve">: W-70 - 2023 - 30969 geführten wasserrechtlichen Genehmigungsverfahrens nach § 68 Wasserhaushaltsgesetz - WHG –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 xml:space="preserve">: Herr Rudolf Stein, 53474 Bad Neuenahr-Ahrweiler, Im Dellmich 32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Obermendig, Flur 1, Flurstücke 138, 139/1, 137, 143/2, 145, 443/144, 82/1, 595/144, 593/144, 594/144, 156/5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Gewässerausbau im Sinne §§ 67, 68 Wasserhaushaltsgesetz (WHG), für das gem. § 7 Abs. 2 i.V.m. Nr. 13.18.2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23.04.2024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p>
      <w:pPr>
        <w:rPr>
          <w:rFonts w:cs="Arial"/>
          <w:szCs w:val="22"/>
          <w:lang w:val="en-US"/>
        </w:rPr>
      </w:pP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2013-06-12T10:01:00Z</cp:lastPrinted>
  <dcterms:created xsi:type="dcterms:W3CDTF">2024-04-20T08:32:00Z</dcterms:created>
  <dcterms:modified xsi:type="dcterms:W3CDTF">2024-04-20T08:32:00Z</dcterms:modified>
</cp:coreProperties>
</file>