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right" w:pos="9356"/>
        </w:tabs>
        <w:rPr>
          <w:sz w:val="22"/>
        </w:rPr>
      </w:pPr>
      <w:r>
        <w:rPr>
          <w:sz w:val="22"/>
        </w:rPr>
        <w:t>Kreisverwaltung Mayen-Koblenz</w:t>
      </w:r>
      <w:r>
        <w:rPr>
          <w:sz w:val="22"/>
        </w:rPr>
        <w:tab/>
      </w:r>
      <w:r>
        <w:fldChar w:fldCharType="begin"/>
      </w:r>
      <w:r>
        <w:instrText xml:space="preserve"> TIME \@ "dd.MM.yyyy" </w:instrText>
      </w:r>
      <w:r>
        <w:fldChar w:fldCharType="separate"/>
      </w:r>
      <w:r>
        <w:rPr>
          <w:noProof/>
        </w:rPr>
        <w:t>20.07.2022</w:t>
      </w:r>
      <w:r>
        <w:fldChar w:fldCharType="end"/>
      </w:r>
    </w:p>
    <w:p>
      <w:pPr>
        <w:rPr>
          <w:sz w:val="22"/>
        </w:rPr>
      </w:pPr>
      <w:r>
        <w:rPr>
          <w:sz w:val="22"/>
        </w:rPr>
        <w:t>Referat. 9.60 Bauverwaltung / Immissionsschutz</w:t>
      </w:r>
    </w:p>
    <w:p>
      <w:pPr>
        <w:tabs>
          <w:tab w:val="left" w:pos="4536"/>
        </w:tabs>
        <w:rPr>
          <w:sz w:val="22"/>
        </w:rPr>
      </w:pPr>
      <w:r>
        <w:rPr>
          <w:sz w:val="22"/>
          <w:u w:val="single"/>
        </w:rPr>
        <w:t xml:space="preserve">Az.: </w:t>
      </w:r>
      <w:r>
        <w:rPr>
          <w:rFonts w:cs="Arial"/>
          <w:u w:val="single"/>
        </w:rPr>
        <w:t>BI-60-2020-32107</w:t>
      </w:r>
      <w:r>
        <w:rPr>
          <w:rFonts w:cs="Arial"/>
          <w:u w:val="single"/>
        </w:rPr>
        <w:tab/>
      </w:r>
    </w:p>
    <w:p>
      <w:pPr>
        <w:rPr>
          <w:sz w:val="22"/>
        </w:rPr>
      </w:pPr>
    </w:p>
    <w:p>
      <w:pPr>
        <w:rPr>
          <w:sz w:val="22"/>
        </w:rPr>
      </w:pPr>
    </w:p>
    <w:tbl>
      <w:tblPr>
        <w:tblW w:w="0" w:type="auto"/>
        <w:tblInd w:w="59" w:type="dxa"/>
        <w:tblLayout w:type="fixed"/>
        <w:tblCellMar>
          <w:left w:w="70" w:type="dxa"/>
          <w:right w:w="70" w:type="dxa"/>
        </w:tblCellMar>
        <w:tblLook w:val="0000" w:firstRow="0" w:lastRow="0" w:firstColumn="0" w:lastColumn="0" w:noHBand="0" w:noVBand="0"/>
      </w:tblPr>
      <w:tblGrid>
        <w:gridCol w:w="1418"/>
        <w:gridCol w:w="7938"/>
      </w:tblGrid>
      <w:tr>
        <w:trPr>
          <w:trHeight w:val="240"/>
        </w:trPr>
        <w:tc>
          <w:tcPr>
            <w:tcW w:w="1418" w:type="dxa"/>
            <w:tcMar>
              <w:top w:w="0" w:type="dxa"/>
              <w:left w:w="57" w:type="dxa"/>
              <w:bottom w:w="0" w:type="dxa"/>
              <w:right w:w="0" w:type="dxa"/>
            </w:tcMar>
            <w:vAlign w:val="center"/>
          </w:tcPr>
          <w:p>
            <w:pPr>
              <w:jc w:val="both"/>
              <w:rPr>
                <w:rFonts w:ascii="Arial Narrow" w:hAnsi="Arial Narrow"/>
                <w:b/>
                <w:sz w:val="18"/>
              </w:rPr>
            </w:pPr>
            <w:r>
              <w:rPr>
                <w:rFonts w:ascii="Arial Narrow" w:hAnsi="Arial Narrow"/>
                <w:b/>
                <w:sz w:val="18"/>
              </w:rPr>
              <w:t>Grundstück:</w:t>
            </w:r>
          </w:p>
        </w:tc>
        <w:tc>
          <w:tcPr>
            <w:tcW w:w="7938" w:type="dxa"/>
            <w:tcMar>
              <w:top w:w="0" w:type="dxa"/>
              <w:left w:w="0" w:type="dxa"/>
              <w:bottom w:w="0" w:type="dxa"/>
              <w:right w:w="0" w:type="dxa"/>
            </w:tcMar>
            <w:vAlign w:val="center"/>
          </w:tcPr>
          <w:p>
            <w:pPr>
              <w:tabs>
                <w:tab w:val="left" w:pos="1134"/>
              </w:tabs>
              <w:rPr>
                <w:sz w:val="18"/>
                <w:szCs w:val="18"/>
              </w:rPr>
            </w:pPr>
            <w:r>
              <w:rPr>
                <w:rFonts w:cs="Arial"/>
                <w:sz w:val="18"/>
                <w:szCs w:val="18"/>
              </w:rPr>
              <w:t>Niederfell</w:t>
            </w:r>
          </w:p>
        </w:tc>
      </w:tr>
      <w:tr>
        <w:trPr>
          <w:trHeight w:val="240"/>
        </w:trPr>
        <w:tc>
          <w:tcPr>
            <w:tcW w:w="1418" w:type="dxa"/>
            <w:tcMar>
              <w:top w:w="0" w:type="dxa"/>
              <w:left w:w="57" w:type="dxa"/>
              <w:bottom w:w="0" w:type="dxa"/>
              <w:right w:w="0" w:type="dxa"/>
            </w:tcMar>
            <w:vAlign w:val="center"/>
          </w:tcPr>
          <w:p>
            <w:pPr>
              <w:jc w:val="both"/>
              <w:rPr>
                <w:rFonts w:ascii="Arial Narrow" w:hAnsi="Arial Narrow"/>
                <w:b/>
                <w:sz w:val="18"/>
              </w:rPr>
            </w:pPr>
            <w:r>
              <w:rPr>
                <w:rFonts w:ascii="Arial Narrow" w:hAnsi="Arial Narrow"/>
                <w:b/>
                <w:sz w:val="18"/>
              </w:rPr>
              <w:t>Gemarkung:</w:t>
            </w:r>
          </w:p>
        </w:tc>
        <w:tc>
          <w:tcPr>
            <w:tcW w:w="7938" w:type="dxa"/>
            <w:tcMar>
              <w:top w:w="0" w:type="dxa"/>
              <w:left w:w="0" w:type="dxa"/>
              <w:bottom w:w="0" w:type="dxa"/>
              <w:right w:w="0" w:type="dxa"/>
            </w:tcMar>
            <w:vAlign w:val="center"/>
          </w:tcPr>
          <w:p>
            <w:pPr>
              <w:rPr>
                <w:rFonts w:cs="Arial"/>
                <w:sz w:val="18"/>
                <w:szCs w:val="18"/>
              </w:rPr>
            </w:pPr>
            <w:r>
              <w:rPr>
                <w:rFonts w:cs="Arial"/>
                <w:sz w:val="18"/>
                <w:szCs w:val="18"/>
              </w:rPr>
              <w:t>Gemarkung Niederfell, Flur 27, Flurstücke 14, 20, 29, 37</w:t>
            </w:r>
          </w:p>
        </w:tc>
      </w:tr>
      <w:tr>
        <w:trPr>
          <w:trHeight w:val="240"/>
        </w:trPr>
        <w:tc>
          <w:tcPr>
            <w:tcW w:w="1418" w:type="dxa"/>
            <w:tcMar>
              <w:top w:w="0" w:type="dxa"/>
              <w:left w:w="57" w:type="dxa"/>
              <w:bottom w:w="0" w:type="dxa"/>
              <w:right w:w="0" w:type="dxa"/>
            </w:tcMar>
            <w:vAlign w:val="center"/>
          </w:tcPr>
          <w:p>
            <w:pPr>
              <w:jc w:val="both"/>
              <w:rPr>
                <w:rFonts w:ascii="Arial Narrow" w:hAnsi="Arial Narrow"/>
                <w:b/>
                <w:sz w:val="18"/>
              </w:rPr>
            </w:pPr>
            <w:r>
              <w:rPr>
                <w:rFonts w:ascii="Arial Narrow" w:hAnsi="Arial Narrow"/>
                <w:b/>
                <w:sz w:val="18"/>
              </w:rPr>
              <w:t>Antragsteller:</w:t>
            </w:r>
          </w:p>
        </w:tc>
        <w:tc>
          <w:tcPr>
            <w:tcW w:w="7938" w:type="dxa"/>
            <w:tcMar>
              <w:top w:w="0" w:type="dxa"/>
              <w:left w:w="0" w:type="dxa"/>
              <w:bottom w:w="0" w:type="dxa"/>
              <w:right w:w="0" w:type="dxa"/>
            </w:tcMar>
            <w:vAlign w:val="center"/>
          </w:tcPr>
          <w:p>
            <w:pPr>
              <w:rPr>
                <w:rFonts w:cs="Arial"/>
                <w:sz w:val="18"/>
                <w:szCs w:val="18"/>
              </w:rPr>
            </w:pPr>
            <w:r>
              <w:rPr>
                <w:rFonts w:cs="Arial"/>
                <w:sz w:val="18"/>
                <w:szCs w:val="18"/>
              </w:rPr>
              <w:t>Firma ABO Wind AG, Unter den Eichen 7, 65195 Wiesbaden</w:t>
            </w:r>
          </w:p>
        </w:tc>
      </w:tr>
      <w:tr>
        <w:trPr>
          <w:trHeight w:val="240"/>
        </w:trPr>
        <w:tc>
          <w:tcPr>
            <w:tcW w:w="1418" w:type="dxa"/>
            <w:tcMar>
              <w:top w:w="0" w:type="dxa"/>
              <w:left w:w="57" w:type="dxa"/>
              <w:bottom w:w="0" w:type="dxa"/>
              <w:right w:w="0" w:type="dxa"/>
            </w:tcMar>
            <w:vAlign w:val="center"/>
          </w:tcPr>
          <w:p>
            <w:pPr>
              <w:jc w:val="both"/>
              <w:rPr>
                <w:rFonts w:ascii="Arial Narrow" w:hAnsi="Arial Narrow"/>
                <w:b/>
                <w:sz w:val="18"/>
              </w:rPr>
            </w:pPr>
            <w:r>
              <w:rPr>
                <w:rFonts w:ascii="Arial Narrow" w:hAnsi="Arial Narrow"/>
                <w:b/>
                <w:sz w:val="18"/>
              </w:rPr>
              <w:t>Verfahrensart</w:t>
            </w:r>
          </w:p>
        </w:tc>
        <w:tc>
          <w:tcPr>
            <w:tcW w:w="7938" w:type="dxa"/>
            <w:tcMar>
              <w:top w:w="0" w:type="dxa"/>
              <w:left w:w="0" w:type="dxa"/>
              <w:bottom w:w="0" w:type="dxa"/>
              <w:right w:w="0" w:type="dxa"/>
            </w:tcMar>
            <w:vAlign w:val="center"/>
          </w:tcPr>
          <w:p>
            <w:pPr>
              <w:rPr>
                <w:rFonts w:cs="Arial"/>
                <w:sz w:val="18"/>
                <w:szCs w:val="18"/>
              </w:rPr>
            </w:pPr>
            <w:r>
              <w:rPr>
                <w:rFonts w:cs="Arial"/>
                <w:sz w:val="18"/>
                <w:szCs w:val="18"/>
              </w:rPr>
              <w:t>Genehmigungsverfahren Neugenehmigung (§4 BImSchG)</w:t>
            </w:r>
          </w:p>
        </w:tc>
      </w:tr>
      <w:tr>
        <w:tc>
          <w:tcPr>
            <w:tcW w:w="1418" w:type="dxa"/>
            <w:tcMar>
              <w:top w:w="0" w:type="dxa"/>
              <w:left w:w="57" w:type="dxa"/>
              <w:bottom w:w="0" w:type="dxa"/>
              <w:right w:w="0" w:type="dxa"/>
            </w:tcMar>
            <w:vAlign w:val="center"/>
          </w:tcPr>
          <w:p>
            <w:pPr>
              <w:jc w:val="both"/>
              <w:rPr>
                <w:rFonts w:ascii="Arial Narrow" w:hAnsi="Arial Narrow"/>
                <w:b/>
                <w:sz w:val="18"/>
              </w:rPr>
            </w:pPr>
            <w:r>
              <w:rPr>
                <w:rFonts w:ascii="Arial Narrow" w:hAnsi="Arial Narrow"/>
                <w:b/>
                <w:sz w:val="18"/>
              </w:rPr>
              <w:t>Vorhaben:</w:t>
            </w:r>
          </w:p>
        </w:tc>
        <w:tc>
          <w:tcPr>
            <w:tcW w:w="7938" w:type="dxa"/>
            <w:tcMar>
              <w:top w:w="0" w:type="dxa"/>
              <w:left w:w="0" w:type="dxa"/>
              <w:bottom w:w="0" w:type="dxa"/>
              <w:right w:w="0" w:type="dxa"/>
            </w:tcMar>
            <w:vAlign w:val="center"/>
          </w:tcPr>
          <w:p>
            <w:pPr>
              <w:rPr>
                <w:rFonts w:cs="Arial"/>
                <w:b/>
                <w:sz w:val="16"/>
                <w:szCs w:val="16"/>
              </w:rPr>
            </w:pPr>
            <w:r>
              <w:rPr>
                <w:rFonts w:cs="Arial"/>
                <w:b/>
                <w:sz w:val="16"/>
                <w:szCs w:val="16"/>
              </w:rPr>
              <w:t>Wärmeerzeugung, Bergbau und Energie; Errichtung und Betrieb von 4 Windenergieanlagen zur Erzeugung von elektrischer Energie</w:t>
            </w:r>
          </w:p>
        </w:tc>
      </w:tr>
      <w:tr>
        <w:tc>
          <w:tcPr>
            <w:tcW w:w="1418" w:type="dxa"/>
            <w:tcMar>
              <w:top w:w="0" w:type="dxa"/>
              <w:left w:w="57" w:type="dxa"/>
              <w:bottom w:w="0" w:type="dxa"/>
              <w:right w:w="0" w:type="dxa"/>
            </w:tcMar>
            <w:vAlign w:val="center"/>
          </w:tcPr>
          <w:p>
            <w:pPr>
              <w:jc w:val="both"/>
              <w:rPr>
                <w:rFonts w:ascii="Arial Narrow" w:hAnsi="Arial Narrow"/>
                <w:b/>
                <w:sz w:val="18"/>
              </w:rPr>
            </w:pPr>
          </w:p>
        </w:tc>
        <w:tc>
          <w:tcPr>
            <w:tcW w:w="7938" w:type="dxa"/>
            <w:tcMar>
              <w:top w:w="0" w:type="dxa"/>
              <w:left w:w="0" w:type="dxa"/>
              <w:bottom w:w="0" w:type="dxa"/>
              <w:right w:w="0" w:type="dxa"/>
            </w:tcMar>
            <w:vAlign w:val="center"/>
          </w:tcPr>
          <w:p>
            <w:pPr>
              <w:rPr>
                <w:rFonts w:cs="Arial"/>
                <w:b/>
                <w:sz w:val="16"/>
                <w:szCs w:val="16"/>
              </w:rPr>
            </w:pPr>
          </w:p>
        </w:tc>
      </w:tr>
      <w:tr>
        <w:tc>
          <w:tcPr>
            <w:tcW w:w="1418" w:type="dxa"/>
            <w:tcMar>
              <w:top w:w="0" w:type="dxa"/>
              <w:left w:w="57" w:type="dxa"/>
              <w:bottom w:w="0" w:type="dxa"/>
              <w:right w:w="0" w:type="dxa"/>
            </w:tcMar>
            <w:vAlign w:val="center"/>
          </w:tcPr>
          <w:p>
            <w:pPr>
              <w:jc w:val="both"/>
              <w:rPr>
                <w:rFonts w:ascii="Arial Narrow" w:hAnsi="Arial Narrow"/>
                <w:b/>
                <w:sz w:val="18"/>
              </w:rPr>
            </w:pPr>
          </w:p>
        </w:tc>
        <w:tc>
          <w:tcPr>
            <w:tcW w:w="7938" w:type="dxa"/>
            <w:tcMar>
              <w:top w:w="0" w:type="dxa"/>
              <w:left w:w="0" w:type="dxa"/>
              <w:bottom w:w="0" w:type="dxa"/>
              <w:right w:w="0" w:type="dxa"/>
            </w:tcMar>
            <w:vAlign w:val="center"/>
          </w:tcPr>
          <w:p>
            <w:pPr>
              <w:rPr>
                <w:rFonts w:cs="Arial"/>
                <w:b/>
                <w:sz w:val="16"/>
                <w:szCs w:val="16"/>
              </w:rPr>
            </w:pPr>
          </w:p>
        </w:tc>
      </w:tr>
      <w:tr>
        <w:tc>
          <w:tcPr>
            <w:tcW w:w="1418" w:type="dxa"/>
            <w:tcMar>
              <w:top w:w="0" w:type="dxa"/>
              <w:left w:w="57" w:type="dxa"/>
              <w:bottom w:w="0" w:type="dxa"/>
              <w:right w:w="0" w:type="dxa"/>
            </w:tcMar>
            <w:vAlign w:val="center"/>
          </w:tcPr>
          <w:p>
            <w:pPr>
              <w:jc w:val="both"/>
              <w:rPr>
                <w:rFonts w:ascii="Arial Narrow" w:hAnsi="Arial Narrow"/>
                <w:b/>
                <w:sz w:val="18"/>
              </w:rPr>
            </w:pPr>
          </w:p>
        </w:tc>
        <w:tc>
          <w:tcPr>
            <w:tcW w:w="7938" w:type="dxa"/>
            <w:tcMar>
              <w:top w:w="0" w:type="dxa"/>
              <w:left w:w="0" w:type="dxa"/>
              <w:bottom w:w="0" w:type="dxa"/>
              <w:right w:w="0" w:type="dxa"/>
            </w:tcMar>
            <w:vAlign w:val="center"/>
          </w:tcPr>
          <w:p>
            <w:pPr>
              <w:rPr>
                <w:rFonts w:cs="Arial"/>
                <w:b/>
                <w:sz w:val="16"/>
                <w:szCs w:val="16"/>
              </w:rPr>
            </w:pPr>
          </w:p>
        </w:tc>
      </w:tr>
    </w:tbl>
    <w:p>
      <w:pPr>
        <w:rPr>
          <w:b/>
          <w:sz w:val="22"/>
          <w:szCs w:val="22"/>
        </w:rPr>
      </w:pPr>
      <w:r>
        <w:rPr>
          <w:b/>
          <w:sz w:val="22"/>
        </w:rPr>
        <w:t>Einleitungstext zur Veröffentlichung der Antragsunterlagen im UVP-Portal</w:t>
      </w:r>
    </w:p>
    <w:p>
      <w:pPr>
        <w:rPr>
          <w:sz w:val="22"/>
          <w:szCs w:val="22"/>
        </w:rPr>
      </w:pPr>
    </w:p>
    <w:p>
      <w:pPr>
        <w:jc w:val="both"/>
        <w:rPr>
          <w:rFonts w:cs="Arial"/>
          <w:sz w:val="22"/>
        </w:rPr>
      </w:pPr>
    </w:p>
    <w:p>
      <w:pPr>
        <w:jc w:val="both"/>
        <w:rPr>
          <w:rFonts w:cs="Arial"/>
        </w:rPr>
      </w:pPr>
      <w:r>
        <w:rPr>
          <w:rFonts w:cs="Arial"/>
          <w:b/>
        </w:rPr>
        <w:t>Errichtung und Betrieb von 4 Windenergieanlagen vom Typ Siemens Gamesa SG 6.0-170 in Niederfell</w:t>
      </w:r>
    </w:p>
    <w:p>
      <w:pPr>
        <w:jc w:val="both"/>
        <w:rPr>
          <w:rFonts w:cs="Arial"/>
        </w:rPr>
      </w:pPr>
    </w:p>
    <w:p>
      <w:pPr>
        <w:jc w:val="both"/>
        <w:rPr>
          <w:rFonts w:cs="Arial"/>
        </w:rPr>
      </w:pPr>
      <w:r>
        <w:rPr>
          <w:rFonts w:cs="Arial"/>
        </w:rPr>
        <w:t xml:space="preserve">Auf dem Gebiet der Ortsgemeinde Niederfell, Verbandsgemeinde Rhein-Mosel (Landkreis Mayen-Koblenz) ist die Errichtung und der Betrieb von 4 Windenergieanlagen (WEA) geplant. Die geplanten Anlagen liegen in der Flur 27 der Gemarkung Niederfell, Flurstücke 14, 20, 29 und 37. </w:t>
      </w:r>
    </w:p>
    <w:p>
      <w:pPr>
        <w:jc w:val="both"/>
        <w:rPr>
          <w:rFonts w:cs="Arial"/>
        </w:rPr>
      </w:pPr>
      <w:r>
        <w:rPr>
          <w:rFonts w:cs="Arial"/>
        </w:rPr>
        <w:t xml:space="preserve">Zu den mit Schreiben vom 16.11.2020 vorgelegten Antragsunterlagen wurden am 14.04.2021, 14.07.2021, 23.09.2021, 20.12.2021, 05.05.2022 und 30.06.2022 jeweils Nachträge vorgelegt. </w:t>
      </w:r>
    </w:p>
    <w:p>
      <w:pPr>
        <w:jc w:val="both"/>
        <w:rPr>
          <w:rFonts w:cs="Arial"/>
        </w:rPr>
      </w:pPr>
    </w:p>
    <w:p>
      <w:pPr>
        <w:jc w:val="both"/>
        <w:rPr>
          <w:rFonts w:cs="Arial"/>
        </w:rPr>
      </w:pPr>
      <w:r>
        <w:rPr>
          <w:rFonts w:cs="Arial"/>
        </w:rPr>
        <w:t xml:space="preserve">Die 4 Windenergieanlagen vom Typ Siemens Gamesa SG 6.0-170 haben einen Rotordurchmesser von 170 m und eine Nabenhöhe von 165 m (Gesamthöhe etwa 250 m). Bei einer Nennleistung von 6,2 MW je Anlage wird eine elektrische Nennleistung von insgesamt 24,8 MW im Windpark installiert. Gegenstand des Genehmigungsverfahrens sind neben den Windenergieanlagen selbst die Fundamente, die Kranstellflächen, die Kabeltrassen sowie Montage- und Lagerflächen. </w:t>
      </w:r>
    </w:p>
    <w:p>
      <w:pPr>
        <w:jc w:val="both"/>
        <w:rPr>
          <w:rFonts w:cs="Arial"/>
        </w:rPr>
      </w:pPr>
    </w:p>
    <w:p>
      <w:pPr>
        <w:jc w:val="both"/>
      </w:pPr>
      <w:r>
        <w:t xml:space="preserve">Die für den Windpark vorgesehenen Flächen liegen südöstlich der Ortsgemeinde Niederfell, nördlich der K 71 (Abstand mehr als 250 m) und nordwestlich der Ortsgemeinde Nörtershausen (Ortsteil Pfaffenheck) im Außenbereich der Ortsgemeinde Niederfell (§ 35 Abs. 1 Nr. 5 BauGB). Der Flächennutzungsplan der Verbandsgemeinde Rhein-Mosel stellt hier Mischbauflächen dar. </w:t>
      </w:r>
    </w:p>
    <w:p>
      <w:pPr>
        <w:jc w:val="both"/>
      </w:pPr>
    </w:p>
    <w:p>
      <w:pPr>
        <w:jc w:val="both"/>
        <w:rPr>
          <w:rFonts w:cs="Arial"/>
          <w:color w:val="4F81BD" w:themeColor="accent1"/>
        </w:rPr>
      </w:pPr>
      <w:r>
        <w:t xml:space="preserve">Die WEA haben untereinander einen Abstand zwischen 450 und 650 m. Der Abstand zur nächstgelegenen Wohnbebauung beträgt ca. 1.245 m (Försterhof), zu den nächsten Siedlungsbereichen in Oberfell und Pfaffenheck betragen die Abstände mindestens 1.680 m bzw. 1.525 m. Der gemäß Ziel Z 163 h im Kapitel 5.2.1 „Erneuerbare Energien“ der </w:t>
      </w:r>
      <w:proofErr w:type="spellStart"/>
      <w:r>
        <w:t>Dritten</w:t>
      </w:r>
      <w:proofErr w:type="spellEnd"/>
      <w:r>
        <w:t xml:space="preserve"> Teilfortschreibung des Landesentwicklungsprogramms (LEP IV) bei der Errichtung von Windenergieanlagen zu beachtende Mindestabstand wird somit eingehalten</w:t>
      </w:r>
      <w:r>
        <w:rPr>
          <w:rFonts w:cs="Arial"/>
          <w:color w:val="4F81BD" w:themeColor="accent1"/>
        </w:rPr>
        <w:t xml:space="preserve">. </w:t>
      </w:r>
    </w:p>
    <w:p>
      <w:pPr>
        <w:jc w:val="both"/>
        <w:rPr>
          <w:rFonts w:cs="Arial"/>
          <w:color w:val="4F81BD" w:themeColor="accent1"/>
        </w:rPr>
      </w:pPr>
    </w:p>
    <w:p>
      <w:pPr>
        <w:jc w:val="both"/>
        <w:rPr>
          <w:rFonts w:cs="Arial"/>
        </w:rPr>
      </w:pPr>
      <w:r>
        <w:rPr>
          <w:rFonts w:cs="Arial"/>
        </w:rPr>
        <w:t>Die Standorte der geplanten WEA befinden sich westlich der UNESCO-Welterbestätte Oberes Mittelrheintal und der darin gelegenen raumbedeutsamen Kulturdenkmäler. In der Nähe der geplanten Anlagen sind römische Siedlungsstätten und Grabanlagen bekannt. Westlich der WEA-Standorte liegt die landesweit bedeutsame historische Kulturlandschaft Unteres Moseltal. Der Regionale Raumordnungsplan der Region Mittelrhein-Westerwald stellt im nahezu kompletten Untersuchungsraum ein Vorbehaltsgebiet für Erholung und Tourismus dar.</w:t>
      </w:r>
    </w:p>
    <w:p>
      <w:pPr>
        <w:jc w:val="both"/>
        <w:rPr>
          <w:rFonts w:cs="Arial"/>
        </w:rPr>
      </w:pPr>
      <w:bookmarkStart w:id="0" w:name="_GoBack"/>
      <w:bookmarkEnd w:id="0"/>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pPr>
      <w:r>
        <w:t>G</w:t>
      </w:r>
      <w:r>
        <w:t>emäß Entscheidung der SGD Nord als Obere Landesplanungsbehörde vom 28.06.2022 wird kein separates Raumordnungsverfahren durchgeführt. Die Vereinbarkeit des geplanten Bauvorhabens mit den Erfordernissen der Raumordnung (Prüfung der Raumverträglichkeit) wird als integraler Bestandteil des immissionsschutzrechtlichen Genehmigungsverfahrens geprüft.</w:t>
      </w:r>
    </w:p>
    <w:p>
      <w:pPr>
        <w:jc w:val="both"/>
        <w:rPr>
          <w:rFonts w:cs="Arial"/>
        </w:rPr>
      </w:pPr>
    </w:p>
    <w:p>
      <w:pPr>
        <w:jc w:val="both"/>
        <w:rPr>
          <w:rFonts w:cs="Arial"/>
        </w:rPr>
      </w:pPr>
      <w:r>
        <w:rPr>
          <w:rFonts w:cs="Arial"/>
        </w:rPr>
        <w:t>Alle vier Standorte liegen innerhalb eines Waldbereiches im Landschaftsschutzgebiet „Moselgebiet von Schweich bis Koblenz“, im EU-Vogelschutzgebiet „Mittel- und Untermosel“ sowie in unmittelbarer Nähe zum FFH-Gebiet „Moselhänge und Nebentäler der unteren Mosel“.</w:t>
      </w:r>
    </w:p>
    <w:p>
      <w:pPr>
        <w:jc w:val="both"/>
        <w:rPr>
          <w:rFonts w:cs="Arial"/>
        </w:rPr>
      </w:pPr>
    </w:p>
    <w:p>
      <w:pPr>
        <w:jc w:val="both"/>
        <w:rPr>
          <w:rFonts w:cs="Arial"/>
        </w:rPr>
      </w:pPr>
      <w:r>
        <w:rPr>
          <w:rFonts w:cs="Arial"/>
        </w:rPr>
        <w:lastRenderedPageBreak/>
        <w:t>Die Erschließung des Windparks erfolgt über die Autobahn A 61 – Abfahrt Nr. 40 „Koblenz/Waldesch“ und die Kreisstraße K 71 sowie im Anschluss größtenteils über teilversiegelte und nicht befestigte forstwirtschaftliche Wirtschaftswege. Die Forst- und Wirtschaftswege werden den Erfordernissen des Schwerlastverkehrs entsprechend ausgebaut. Zum Teil werden Zufahrten neu erstellt. Die Zuwegungen zu den WEA bleiben auch im Anschluss an die Bauphase für Wartungsarbeiten während der Betriebsphase erhalten.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62302"/>
    <w:multiLevelType w:val="hybridMultilevel"/>
    <w:tmpl w:val="329AAF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EDC5B57"/>
    <w:multiLevelType w:val="hybridMultilevel"/>
    <w:tmpl w:val="38906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F4576A-911A-49BA-822A-951843C6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73385">
      <w:bodyDiv w:val="1"/>
      <w:marLeft w:val="0"/>
      <w:marRight w:val="0"/>
      <w:marTop w:val="0"/>
      <w:marBottom w:val="0"/>
      <w:divBdr>
        <w:top w:val="none" w:sz="0" w:space="0" w:color="auto"/>
        <w:left w:val="none" w:sz="0" w:space="0" w:color="auto"/>
        <w:bottom w:val="none" w:sz="0" w:space="0" w:color="auto"/>
        <w:right w:val="none" w:sz="0" w:space="0" w:color="auto"/>
      </w:divBdr>
    </w:div>
    <w:div w:id="18956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Kreisverwaltung Mayen-Koblenz</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Solbach, Peter (KVMYK)</dc:creator>
  <cp:keywords/>
  <dc:description/>
  <cp:lastModifiedBy>Menges, Dagmar (KVMYK)</cp:lastModifiedBy>
  <cp:revision>20</cp:revision>
  <cp:lastPrinted>2007-03-06T10:07:00Z</cp:lastPrinted>
  <dcterms:created xsi:type="dcterms:W3CDTF">2022-05-04T10:28:00Z</dcterms:created>
  <dcterms:modified xsi:type="dcterms:W3CDTF">2022-07-20T17:37:00Z</dcterms:modified>
</cp:coreProperties>
</file>