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/>
          <w:b/>
          <w:bCs/>
          <w:szCs w:val="20"/>
        </w:rPr>
      </w:pPr>
      <w:bookmarkStart w:id="0" w:name="_GoBack"/>
      <w:bookmarkEnd w:id="0"/>
      <w:r>
        <w:rPr>
          <w:rFonts w:ascii="Arial" w:hAnsi="Arial"/>
          <w:b/>
          <w:bCs/>
          <w:szCs w:val="20"/>
        </w:rPr>
        <w:t>Bekanntgabe gemäß § 3a Satz 2 Halbsatz 2 des Gesetzes über die Umweltverträglichkeitsprüfung (UVPG)</w:t>
      </w:r>
    </w:p>
    <w:p>
      <w:pPr>
        <w:rPr>
          <w:rFonts w:ascii="Arial" w:hAnsi="Arial"/>
          <w:bCs/>
          <w:szCs w:val="20"/>
        </w:rPr>
      </w:pPr>
    </w:p>
    <w:p>
      <w:pPr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>Die Struktur- und Genehmigungsdirektion Nord, Stresemannstraße 3-5, 56068 Koblenz, gibt als zuständige Genehmigungsbehörde bekannt, dass im Rahmen des immissions</w:t>
      </w:r>
      <w:r>
        <w:rPr>
          <w:rFonts w:ascii="Arial" w:hAnsi="Arial"/>
          <w:bCs/>
          <w:szCs w:val="20"/>
        </w:rPr>
        <w:softHyphen/>
        <w:t xml:space="preserve">schutzrechtlichen Genehmigungsverfahrens zur </w:t>
      </w:r>
      <w:sdt>
        <w:sdtPr>
          <w:rPr>
            <w:rFonts w:ascii="Arial" w:hAnsi="Arial"/>
            <w:bCs/>
            <w:szCs w:val="20"/>
          </w:rPr>
          <w:id w:val="1738129125"/>
          <w:placeholder>
            <w:docPart w:val="DefaultPlaceholder_1081868575"/>
          </w:placeholder>
          <w:comboBox>
            <w:listItem w:value="Wählen Sie ein Element aus."/>
            <w:listItem w:displayText="Neugenehmigung" w:value="Neugenehmigung"/>
            <w:listItem w:displayText="wesentlichen Änderung" w:value="wesentlichen Änderung"/>
          </w:comboBox>
        </w:sdtPr>
        <w:sdtContent>
          <w:r>
            <w:rPr>
              <w:rFonts w:ascii="Arial" w:hAnsi="Arial"/>
              <w:bCs/>
              <w:szCs w:val="20"/>
            </w:rPr>
            <w:t>Neugenehmigung</w:t>
          </w:r>
        </w:sdtContent>
      </w:sdt>
      <w:r>
        <w:rPr>
          <w:rFonts w:ascii="Arial" w:hAnsi="Arial"/>
          <w:bCs/>
          <w:szCs w:val="20"/>
        </w:rPr>
        <w:t xml:space="preserve"> </w:t>
      </w:r>
      <w:sdt>
        <w:sdtPr>
          <w:rPr>
            <w:rFonts w:ascii="Arial" w:hAnsi="Arial"/>
            <w:bCs/>
            <w:szCs w:val="20"/>
          </w:rPr>
          <w:id w:val="924459780"/>
          <w:placeholder>
            <w:docPart w:val="D42CA8E57A4A4F3AB44767FA279CD688"/>
          </w:placeholder>
          <w:text/>
        </w:sdtPr>
        <w:sdtContent>
          <w:r>
            <w:rPr>
              <w:rFonts w:ascii="Arial" w:hAnsi="Arial"/>
              <w:bCs/>
              <w:szCs w:val="20"/>
            </w:rPr>
            <w:t>einer Verbrennungs-</w:t>
          </w:r>
          <w:proofErr w:type="spellStart"/>
          <w:r>
            <w:rPr>
              <w:rFonts w:ascii="Arial" w:hAnsi="Arial"/>
              <w:bCs/>
              <w:szCs w:val="20"/>
            </w:rPr>
            <w:t>motoranlage</w:t>
          </w:r>
          <w:proofErr w:type="spellEnd"/>
          <w:r>
            <w:rPr>
              <w:rFonts w:ascii="Arial" w:hAnsi="Arial"/>
              <w:bCs/>
              <w:szCs w:val="20"/>
            </w:rPr>
            <w:t xml:space="preserve"> (Blockheizkraftwerk –BHKW) mit einer Feuerungswärmeleistung von 1,278 MW durch den Einsatz von Biogas und Erdgas </w:t>
          </w:r>
        </w:sdtContent>
      </w:sdt>
      <w:r>
        <w:rPr>
          <w:rFonts w:ascii="Arial" w:hAnsi="Arial"/>
          <w:bCs/>
          <w:szCs w:val="20"/>
        </w:rPr>
        <w:t xml:space="preserve">gemäß § 4 BImSchG in der Gemarkung </w:t>
      </w:r>
      <w:sdt>
        <w:sdtPr>
          <w:rPr>
            <w:rFonts w:ascii="Arial" w:hAnsi="Arial"/>
            <w:bCs/>
            <w:szCs w:val="20"/>
          </w:rPr>
          <w:id w:val="-1650512310"/>
          <w:placeholder>
            <w:docPart w:val="EEB2E800489741788D661BB2CEC51718"/>
          </w:placeholder>
          <w:text/>
        </w:sdtPr>
        <w:sdtContent>
          <w:proofErr w:type="spellStart"/>
          <w:r>
            <w:rPr>
              <w:rFonts w:ascii="Arial" w:hAnsi="Arial"/>
              <w:bCs/>
              <w:szCs w:val="20"/>
            </w:rPr>
            <w:t>Mandern</w:t>
          </w:r>
          <w:proofErr w:type="spellEnd"/>
          <w:r>
            <w:rPr>
              <w:rFonts w:ascii="Arial" w:hAnsi="Arial"/>
              <w:bCs/>
              <w:szCs w:val="20"/>
            </w:rPr>
            <w:t xml:space="preserve">, Flur 6, Flurstücke 12/2, 14/5 und 14/7 </w:t>
          </w:r>
        </w:sdtContent>
      </w:sdt>
      <w:r>
        <w:rPr>
          <w:rFonts w:ascii="Arial" w:hAnsi="Arial"/>
          <w:bCs/>
          <w:szCs w:val="20"/>
        </w:rPr>
        <w:t xml:space="preserve">durch die </w:t>
      </w:r>
      <w:sdt>
        <w:sdtPr>
          <w:rPr>
            <w:rFonts w:ascii="Arial" w:hAnsi="Arial"/>
            <w:bCs/>
            <w:szCs w:val="20"/>
          </w:rPr>
          <w:id w:val="492069420"/>
          <w:placeholder>
            <w:docPart w:val="8F76B9D919684898BD40A10EF1161246"/>
          </w:placeholder>
          <w:text/>
        </w:sdtPr>
        <w:sdtContent>
          <w:r>
            <w:rPr>
              <w:rFonts w:ascii="Arial" w:hAnsi="Arial"/>
              <w:bCs/>
              <w:szCs w:val="20"/>
            </w:rPr>
            <w:t xml:space="preserve">Firma </w:t>
          </w:r>
          <w:proofErr w:type="spellStart"/>
          <w:r>
            <w:rPr>
              <w:rFonts w:ascii="Arial" w:hAnsi="Arial"/>
              <w:bCs/>
              <w:szCs w:val="20"/>
            </w:rPr>
            <w:t>thyssenkrupp</w:t>
          </w:r>
          <w:proofErr w:type="spellEnd"/>
          <w:r>
            <w:rPr>
              <w:rFonts w:ascii="Arial" w:hAnsi="Arial"/>
              <w:bCs/>
              <w:szCs w:val="20"/>
            </w:rPr>
            <w:t xml:space="preserve"> </w:t>
          </w:r>
          <w:proofErr w:type="spellStart"/>
          <w:r>
            <w:rPr>
              <w:rFonts w:ascii="Arial" w:hAnsi="Arial"/>
              <w:bCs/>
              <w:szCs w:val="20"/>
            </w:rPr>
            <w:t>Bilstein</w:t>
          </w:r>
          <w:proofErr w:type="spellEnd"/>
          <w:r>
            <w:rPr>
              <w:rFonts w:ascii="Arial" w:hAnsi="Arial"/>
              <w:bCs/>
              <w:szCs w:val="20"/>
            </w:rPr>
            <w:t xml:space="preserve"> GmbH, </w:t>
          </w:r>
          <w:proofErr w:type="spellStart"/>
          <w:r>
            <w:rPr>
              <w:rFonts w:ascii="Arial" w:hAnsi="Arial"/>
              <w:bCs/>
              <w:szCs w:val="20"/>
            </w:rPr>
            <w:t>Niederkell</w:t>
          </w:r>
          <w:proofErr w:type="spellEnd"/>
          <w:r>
            <w:rPr>
              <w:rFonts w:ascii="Arial" w:hAnsi="Arial"/>
              <w:bCs/>
              <w:szCs w:val="20"/>
            </w:rPr>
            <w:t xml:space="preserve"> 25, 54429 </w:t>
          </w:r>
          <w:proofErr w:type="spellStart"/>
          <w:r>
            <w:rPr>
              <w:rFonts w:ascii="Arial" w:hAnsi="Arial"/>
              <w:bCs/>
              <w:szCs w:val="20"/>
            </w:rPr>
            <w:t>Mandern</w:t>
          </w:r>
          <w:proofErr w:type="spellEnd"/>
        </w:sdtContent>
      </w:sdt>
      <w:r>
        <w:rPr>
          <w:rFonts w:ascii="Arial" w:hAnsi="Arial"/>
          <w:bCs/>
          <w:szCs w:val="20"/>
        </w:rPr>
        <w:t>, eine Umweltverträglichkeitsprüfung nicht durchgeführt wird. (AZ: 21a/07/5.1/</w:t>
      </w:r>
      <w:sdt>
        <w:sdtPr>
          <w:rPr>
            <w:rFonts w:ascii="Arial" w:hAnsi="Arial"/>
            <w:bCs/>
            <w:szCs w:val="20"/>
          </w:rPr>
          <w:id w:val="-1713107373"/>
          <w:placeholder>
            <w:docPart w:val="D35FE923BF4144F194F1EEE158FD1969"/>
          </w:placeholder>
          <w:text/>
        </w:sdtPr>
        <w:sdtContent>
          <w:r>
            <w:rPr>
              <w:rFonts w:ascii="Arial" w:hAnsi="Arial"/>
              <w:bCs/>
              <w:szCs w:val="20"/>
            </w:rPr>
            <w:t>2024/0001</w:t>
          </w:r>
        </w:sdtContent>
      </w:sdt>
      <w:r>
        <w:rPr>
          <w:rFonts w:ascii="Arial" w:hAnsi="Arial"/>
          <w:bCs/>
          <w:szCs w:val="20"/>
        </w:rPr>
        <w:t xml:space="preserve">) </w:t>
      </w:r>
    </w:p>
    <w:p>
      <w:pPr>
        <w:rPr>
          <w:rFonts w:ascii="Arial" w:hAnsi="Arial"/>
          <w:bCs/>
          <w:szCs w:val="20"/>
        </w:rPr>
      </w:pPr>
    </w:p>
    <w:p>
      <w:pPr>
        <w:rPr>
          <w:rFonts w:ascii="Arial" w:hAnsi="Arial"/>
          <w:b/>
          <w:bCs/>
          <w:szCs w:val="20"/>
        </w:rPr>
      </w:pPr>
    </w:p>
    <w:p>
      <w:pPr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bCs/>
          <w:szCs w:val="20"/>
        </w:rPr>
        <w:t>Betreiber der o.g. Anlage ist die</w:t>
      </w:r>
    </w:p>
    <w:sdt>
      <w:sdtPr>
        <w:rPr>
          <w:rFonts w:ascii="Arial" w:hAnsi="Arial"/>
          <w:bCs/>
          <w:szCs w:val="20"/>
        </w:rPr>
        <w:id w:val="-533039168"/>
        <w:placeholder>
          <w:docPart w:val="5488616342F64713BA82259202B122A0"/>
        </w:placeholder>
        <w:text w:multiLine="1"/>
      </w:sdtPr>
      <w:sdtContent>
        <w:p>
          <w:pPr>
            <w:rPr>
              <w:rFonts w:ascii="Arial" w:hAnsi="Arial"/>
              <w:bCs/>
              <w:szCs w:val="20"/>
            </w:rPr>
          </w:pPr>
          <w:r>
            <w:rPr>
              <w:rFonts w:ascii="Arial" w:hAnsi="Arial"/>
              <w:bCs/>
              <w:szCs w:val="20"/>
            </w:rPr>
            <w:t xml:space="preserve">Firma </w:t>
          </w:r>
          <w:r>
            <w:rPr>
              <w:rFonts w:ascii="Arial" w:hAnsi="Arial"/>
              <w:bCs/>
              <w:szCs w:val="20"/>
            </w:rPr>
            <w:br/>
          </w:r>
          <w:proofErr w:type="spellStart"/>
          <w:r>
            <w:rPr>
              <w:rFonts w:ascii="Arial" w:hAnsi="Arial"/>
              <w:bCs/>
              <w:szCs w:val="20"/>
            </w:rPr>
            <w:t>thyssenkrupp</w:t>
          </w:r>
          <w:proofErr w:type="spellEnd"/>
          <w:r>
            <w:rPr>
              <w:rFonts w:ascii="Arial" w:hAnsi="Arial"/>
              <w:bCs/>
              <w:szCs w:val="20"/>
            </w:rPr>
            <w:t xml:space="preserve"> </w:t>
          </w:r>
          <w:proofErr w:type="spellStart"/>
          <w:r>
            <w:rPr>
              <w:rFonts w:ascii="Arial" w:hAnsi="Arial"/>
              <w:bCs/>
              <w:szCs w:val="20"/>
            </w:rPr>
            <w:t>Bilstein</w:t>
          </w:r>
          <w:proofErr w:type="spellEnd"/>
          <w:r>
            <w:rPr>
              <w:rFonts w:ascii="Arial" w:hAnsi="Arial"/>
              <w:bCs/>
              <w:szCs w:val="20"/>
            </w:rPr>
            <w:t xml:space="preserve"> GmbH</w:t>
          </w:r>
          <w:r>
            <w:rPr>
              <w:rFonts w:ascii="Arial" w:hAnsi="Arial"/>
              <w:bCs/>
              <w:szCs w:val="20"/>
            </w:rPr>
            <w:br/>
          </w:r>
          <w:proofErr w:type="spellStart"/>
          <w:r>
            <w:rPr>
              <w:rFonts w:ascii="Arial" w:hAnsi="Arial"/>
              <w:bCs/>
              <w:szCs w:val="20"/>
            </w:rPr>
            <w:t>Niederkell</w:t>
          </w:r>
          <w:proofErr w:type="spellEnd"/>
          <w:r>
            <w:rPr>
              <w:rFonts w:ascii="Arial" w:hAnsi="Arial"/>
              <w:bCs/>
              <w:szCs w:val="20"/>
            </w:rPr>
            <w:t xml:space="preserve"> 25</w:t>
          </w:r>
          <w:r>
            <w:rPr>
              <w:rFonts w:ascii="Arial" w:hAnsi="Arial"/>
              <w:bCs/>
              <w:szCs w:val="20"/>
            </w:rPr>
            <w:br/>
            <w:t xml:space="preserve">54429 </w:t>
          </w:r>
          <w:proofErr w:type="spellStart"/>
          <w:r>
            <w:rPr>
              <w:rFonts w:ascii="Arial" w:hAnsi="Arial"/>
              <w:bCs/>
              <w:szCs w:val="20"/>
            </w:rPr>
            <w:t>Mandern</w:t>
          </w:r>
          <w:proofErr w:type="spellEnd"/>
        </w:p>
      </w:sdtContent>
    </w:sdt>
    <w:p>
      <w:pPr>
        <w:rPr>
          <w:rFonts w:ascii="Arial" w:hAnsi="Arial"/>
          <w:bCs/>
          <w:szCs w:val="20"/>
        </w:rPr>
      </w:pPr>
    </w:p>
    <w:p>
      <w:pPr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 xml:space="preserve">Da dieses Vorhaben in den Anwendungsbereich des UVPG fällt, wurde eine standortbezogene Vorprüfung des Einzelfalls gemäß </w:t>
      </w:r>
      <w:sdt>
        <w:sdtPr>
          <w:rPr>
            <w:rFonts w:ascii="Arial" w:hAnsi="Arial"/>
            <w:bCs/>
            <w:szCs w:val="20"/>
          </w:rPr>
          <w:id w:val="1627663672"/>
          <w:placeholder>
            <w:docPart w:val="FAD3D0C529F54E32A9F0EE9770B5ABD4"/>
          </w:placeholder>
          <w:text/>
        </w:sdtPr>
        <w:sdtContent>
          <w:r>
            <w:rPr>
              <w:rFonts w:ascii="Arial" w:hAnsi="Arial"/>
              <w:bCs/>
              <w:szCs w:val="20"/>
            </w:rPr>
            <w:t>§ 7 Abs. 2 Satz 5 (Vorprüfung bei Neuvorhaben)</w:t>
          </w:r>
        </w:sdtContent>
      </w:sdt>
      <w:r>
        <w:rPr>
          <w:rFonts w:ascii="Arial" w:hAnsi="Arial"/>
          <w:bCs/>
          <w:szCs w:val="20"/>
        </w:rPr>
        <w:t xml:space="preserve"> durchgeführt.</w:t>
      </w:r>
    </w:p>
    <w:p>
      <w:pPr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>Aufgrund überschlägiger Prüfung, unter Berücksichtigung der in Anlage 3 Nr. 2.3 aufgeführten Schutzkriterien sind nach Einschätzung der zuständigen Behörde keine erheblichen nachteiligen Umweltauswirkungen durch die o.g. Anlage zu besorgen. Es besteht daher für das Vorhaben keine Verpflichtung zur Durchführung einer Umweltverträglichkeitsprüfung.</w:t>
      </w:r>
    </w:p>
    <w:p>
      <w:pPr>
        <w:rPr>
          <w:rFonts w:ascii="Arial" w:hAnsi="Arial"/>
          <w:bCs/>
          <w:szCs w:val="20"/>
        </w:rPr>
      </w:pPr>
    </w:p>
    <w:p>
      <w:pPr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>Wesentliche Gründe für das Nichtbestehen einer UVP-Pflicht:</w:t>
      </w:r>
    </w:p>
    <w:p>
      <w:pPr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>Auswirkungen des Vorhabens auf die, im Einwirkungsbereich der Anlage vorliegenden Schutzgüter des UVPG, sind durch technische Vorkehrungen entweder auszuschließen oder unterhalb der jeweiligen Bagatellmenge.</w:t>
      </w:r>
    </w:p>
    <w:p>
      <w:pPr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lastRenderedPageBreak/>
        <w:t>Erhebliche nachteilige Umweltauswirkungen, die die besondere Empfindlichkeit oder die Schutzziele des jeweiligen Gebietes betreffen, sind nicht zu besorgen.</w:t>
      </w:r>
    </w:p>
    <w:p>
      <w:pPr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>Gemäß § 5 Abs. 3 UVPG ist diese Feststellung nicht selbstständig anfechtbar</w:t>
      </w:r>
    </w:p>
    <w:p/>
    <w:p>
      <w:pPr>
        <w:rPr>
          <w:rFonts w:ascii="Arial" w:hAnsi="Arial" w:cs="Arial"/>
        </w:rPr>
      </w:pPr>
      <w:r>
        <w:rPr>
          <w:rFonts w:ascii="Arial" w:hAnsi="Arial" w:cs="Arial"/>
        </w:rPr>
        <w:t>Koblenz, den 09.01.2024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Struktur- und Genehmigungsdirektion Nord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Im Auftrag</w:t>
      </w:r>
    </w:p>
    <w:sdt>
      <w:sdtPr>
        <w:rPr>
          <w:rFonts w:ascii="Arial" w:hAnsi="Arial" w:cs="Arial"/>
        </w:rPr>
        <w:id w:val="1711766559"/>
        <w:placeholder>
          <w:docPart w:val="4D482B3E71A14F139664CDEEF85FDBB4"/>
        </w:placeholder>
        <w:comboBox>
          <w:listItem w:value="Wählen Sie ein Element aus."/>
          <w:listItem w:displayText="Thomas Gottschling" w:value="Thomas Gottschling"/>
          <w:listItem w:displayText="Dr. Wolfgang Mikolaiski" w:value="Dr. Wolfgang Mikolaiski"/>
        </w:comboBox>
      </w:sdtPr>
      <w:sdtContent>
        <w:p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Dr. Wolfgang Mikolaiski</w:t>
          </w:r>
        </w:p>
      </w:sdtContent>
    </w:sdt>
    <w:sectPr>
      <w:pgSz w:w="11906" w:h="16838"/>
      <w:pgMar w:top="1276" w:right="1133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4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5CFD6E-280B-40A5-92ED-8C16EA84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ADA51-6610-44F8-A55B-42EFF2BEA8B5}"/>
      </w:docPartPr>
      <w:docPartBody>
        <w:p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42CA8E57A4A4F3AB44767FA279CD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8C0D1-154B-4E9F-8E4B-3065EDDE7AC7}"/>
      </w:docPartPr>
      <w:docPartBody>
        <w:p>
          <w:pPr>
            <w:pStyle w:val="D42CA8E57A4A4F3AB44767FA279CD688"/>
          </w:pPr>
          <w:r>
            <w:rPr>
              <w:rStyle w:val="Platzhaltertext"/>
              <w:color w:val="FF0000"/>
            </w:rPr>
            <w:t>Antragsgegenstand</w:t>
          </w:r>
          <w:r>
            <w:rPr>
              <w:rStyle w:val="Platzhaltertext"/>
            </w:rPr>
            <w:t>.</w:t>
          </w:r>
        </w:p>
      </w:docPartBody>
    </w:docPart>
    <w:docPart>
      <w:docPartPr>
        <w:name w:val="EEB2E800489741788D661BB2CEC51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8A4D2-DC15-4E3F-A198-821EC92481CD}"/>
      </w:docPartPr>
      <w:docPartBody>
        <w:p>
          <w:pPr>
            <w:pStyle w:val="EEB2E800489741788D661BB2CEC51718"/>
          </w:pPr>
          <w:r>
            <w:rPr>
              <w:rStyle w:val="Platzhaltertext"/>
              <w:color w:val="FF0000"/>
            </w:rPr>
            <w:t>Gemarkung, Flurstück Flur.</w:t>
          </w:r>
        </w:p>
      </w:docPartBody>
    </w:docPart>
    <w:docPart>
      <w:docPartPr>
        <w:name w:val="8F76B9D919684898BD40A10EF1161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8F8FB-339B-428C-8B28-36C044D4BC58}"/>
      </w:docPartPr>
      <w:docPartBody>
        <w:p>
          <w:pPr>
            <w:pStyle w:val="8F76B9D919684898BD40A10EF1161246"/>
          </w:pPr>
          <w:r>
            <w:rPr>
              <w:rStyle w:val="Platzhaltertext"/>
              <w:color w:val="FF0000"/>
            </w:rPr>
            <w:t>Antragsteller mit Adresse</w:t>
          </w:r>
        </w:p>
      </w:docPartBody>
    </w:docPart>
    <w:docPart>
      <w:docPartPr>
        <w:name w:val="D35FE923BF4144F194F1EEE158FD1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B8982-4122-4B59-9F9F-A6DD34D3411E}"/>
      </w:docPartPr>
      <w:docPartBody>
        <w:p>
          <w:pPr>
            <w:pStyle w:val="D35FE923BF4144F194F1EEE158FD1969"/>
          </w:pPr>
          <w:r>
            <w:rPr>
              <w:rStyle w:val="Platzhaltertext"/>
              <w:color w:val="FF0000"/>
            </w:rPr>
            <w:t>Jahr/lfd.Nr.</w:t>
          </w:r>
        </w:p>
      </w:docPartBody>
    </w:docPart>
    <w:docPart>
      <w:docPartPr>
        <w:name w:val="5488616342F64713BA82259202B12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5A174-A5FD-4906-B9B3-526122C2D72D}"/>
      </w:docPartPr>
      <w:docPartBody>
        <w:p>
          <w:pPr>
            <w:pStyle w:val="5488616342F64713BA82259202B122A0"/>
          </w:pPr>
          <w:r>
            <w:rPr>
              <w:rStyle w:val="Platzhaltertext"/>
              <w:color w:val="FF0000"/>
            </w:rPr>
            <w:t>Betreiber der Anlage</w:t>
          </w:r>
        </w:p>
      </w:docPartBody>
    </w:docPart>
    <w:docPart>
      <w:docPartPr>
        <w:name w:val="FAD3D0C529F54E32A9F0EE9770B5A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4C854-B7B0-48AB-937A-2494085F580B}"/>
      </w:docPartPr>
      <w:docPartBody>
        <w:p>
          <w:pPr>
            <w:pStyle w:val="FAD3D0C529F54E32A9F0EE9770B5ABD4"/>
          </w:pPr>
          <w:r>
            <w:rPr>
              <w:rStyle w:val="Platzhaltertext"/>
              <w:color w:val="FF0000"/>
            </w:rPr>
            <w:t>Einstufung des Vorhabens gemäß Prüfkatalog</w:t>
          </w:r>
        </w:p>
      </w:docPartBody>
    </w:docPart>
    <w:docPart>
      <w:docPartPr>
        <w:name w:val="4D482B3E71A14F139664CDEEF85FD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52119-CEC1-4121-B130-D48E7B20CED3}"/>
      </w:docPartPr>
      <w:docPartBody>
        <w:p>
          <w:pPr>
            <w:pStyle w:val="4D482B3E71A14F139664CDEEF85FDBB4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E7D163426BC458C9A1DCBAFB96B464F">
    <w:name w:val="5E7D163426BC458C9A1DCBAFB96B464F"/>
  </w:style>
  <w:style w:type="paragraph" w:customStyle="1" w:styleId="D42CA8E57A4A4F3AB44767FA279CD688">
    <w:name w:val="D42CA8E57A4A4F3AB44767FA279CD688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2E800489741788D661BB2CEC51718">
    <w:name w:val="EEB2E800489741788D661BB2CEC51718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6B9D919684898BD40A10EF1161246">
    <w:name w:val="8F76B9D919684898BD40A10EF1161246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FE923BF4144F194F1EEE158FD1969">
    <w:name w:val="D35FE923BF4144F194F1EEE158FD196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8616342F64713BA82259202B122A0">
    <w:name w:val="5488616342F64713BA82259202B122A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3D0C529F54E32A9F0EE9770B5ABD4">
    <w:name w:val="FAD3D0C529F54E32A9F0EE9770B5ABD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82B3E71A14F139664CDEEF85FDBB4">
    <w:name w:val="4D482B3E71A14F139664CDEEF85FDBB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Nord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Ginsberg, Achim</dc:creator>
  <cp:lastModifiedBy>Ginsberg, Achim</cp:lastModifiedBy>
  <cp:revision>2</cp:revision>
  <dcterms:created xsi:type="dcterms:W3CDTF">2024-01-10T06:45:00Z</dcterms:created>
  <dcterms:modified xsi:type="dcterms:W3CDTF">2024-01-10T06:45:00Z</dcterms:modified>
</cp:coreProperties>
</file>