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 xml:space="preserve">der Firma </w:t>
      </w:r>
      <w:r>
        <w:rPr>
          <w:rFonts w:eastAsia="Times New Roman" w:cs="Arial"/>
          <w:b/>
          <w:noProof/>
          <w:szCs w:val="24"/>
          <w:lang w:eastAsia="de-DE"/>
        </w:rPr>
        <w:t>Basell Polyolefine GmbH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t>Köln, 01.12.2023</w:t>
      </w: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Az.: 53-2023-0004696</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noProof/>
          <w:szCs w:val="24"/>
          <w:lang w:eastAsia="de-DE"/>
        </w:rPr>
      </w:pPr>
      <w:r>
        <w:rPr>
          <w:rFonts w:eastAsia="Times New Roman" w:cs="Arial"/>
          <w:szCs w:val="24"/>
          <w:lang w:eastAsia="de-DE"/>
        </w:rPr>
        <w:t xml:space="preserve">Die Firma </w:t>
      </w:r>
      <w:r>
        <w:rPr>
          <w:rFonts w:eastAsia="Times New Roman" w:cs="Arial"/>
          <w:noProof/>
          <w:szCs w:val="24"/>
          <w:lang w:eastAsia="de-DE"/>
        </w:rPr>
        <w:t>Basell Polyolefine GmbH</w:t>
      </w:r>
      <w:r>
        <w:rPr>
          <w:rFonts w:eastAsia="Times New Roman" w:cs="Arial"/>
          <w:szCs w:val="24"/>
          <w:lang w:eastAsia="de-DE"/>
        </w:rPr>
        <w:t xml:space="preserve"> hat gem. § </w:t>
      </w:r>
      <w:r>
        <w:rPr>
          <w:rFonts w:eastAsia="Times New Roman" w:cs="Arial"/>
          <w:noProof/>
          <w:szCs w:val="24"/>
          <w:lang w:eastAsia="de-DE"/>
        </w:rPr>
        <w:t>16</w:t>
      </w:r>
      <w:r>
        <w:rPr>
          <w:rFonts w:eastAsia="Times New Roman" w:cs="Arial"/>
          <w:szCs w:val="24"/>
          <w:lang w:eastAsia="de-DE"/>
        </w:rPr>
        <w:t xml:space="preserve"> Bundes-Immissionsschutzgesetz (BImSchG) die Genehmigung zur wesentlichen Änderung der </w:t>
      </w:r>
      <w:r>
        <w:rPr>
          <w:rFonts w:eastAsia="Times New Roman" w:cs="Arial"/>
          <w:noProof/>
          <w:szCs w:val="24"/>
          <w:lang w:eastAsia="de-DE"/>
        </w:rPr>
        <w:t>OM6 Ethylen-Anlage am Standort Wesseling</w:t>
      </w:r>
      <w:r>
        <w:rPr>
          <w:rFonts w:eastAsia="Times New Roman" w:cs="Arial"/>
          <w:szCs w:val="24"/>
          <w:lang w:eastAsia="de-DE"/>
        </w:rPr>
        <w:t>, Gemarkung Rondorf-Land</w:t>
      </w:r>
      <w:r>
        <w:rPr>
          <w:rFonts w:eastAsia="Times New Roman" w:cs="Arial"/>
          <w:noProof/>
          <w:szCs w:val="24"/>
          <w:lang w:eastAsia="de-DE"/>
        </w:rPr>
        <w:t>,</w:t>
      </w:r>
      <w:r>
        <w:rPr>
          <w:rFonts w:eastAsia="Times New Roman" w:cs="Arial"/>
          <w:szCs w:val="24"/>
          <w:lang w:eastAsia="de-DE"/>
        </w:rPr>
        <w:t xml:space="preserve"> Flur 45 und 33, Flurstücke 32,33,34 und 68 beantragt. Der Genehmigungsantrag beinhaltet </w:t>
      </w:r>
    </w:p>
    <w:p>
      <w:pPr>
        <w:pStyle w:val="Listenabsatz"/>
        <w:numPr>
          <w:ilvl w:val="0"/>
          <w:numId w:val="1"/>
        </w:numPr>
        <w:autoSpaceDE w:val="0"/>
        <w:autoSpaceDN w:val="0"/>
        <w:adjustRightInd w:val="0"/>
        <w:spacing w:after="0" w:line="240" w:lineRule="auto"/>
        <w:rPr>
          <w:rFonts w:eastAsia="Times New Roman" w:cs="Arial"/>
          <w:noProof/>
          <w:szCs w:val="24"/>
          <w:lang w:eastAsia="de-DE"/>
        </w:rPr>
      </w:pPr>
      <w:r>
        <w:rPr>
          <w:rFonts w:eastAsia="Times New Roman" w:cs="Arial"/>
          <w:noProof/>
          <w:szCs w:val="24"/>
          <w:lang w:eastAsia="de-DE"/>
        </w:rPr>
        <w:t>Maßnahmen zur CO2-Re</w:t>
      </w:r>
      <w:bookmarkStart w:id="0" w:name="_GoBack"/>
      <w:bookmarkEnd w:id="0"/>
      <w:r>
        <w:rPr>
          <w:rFonts w:eastAsia="Times New Roman" w:cs="Arial"/>
          <w:noProof/>
          <w:szCs w:val="24"/>
          <w:lang w:eastAsia="de-DE"/>
        </w:rPr>
        <w:t>duzierung</w:t>
      </w:r>
    </w:p>
    <w:p>
      <w:pPr>
        <w:pStyle w:val="Listenabsatz"/>
        <w:numPr>
          <w:ilvl w:val="0"/>
          <w:numId w:val="1"/>
        </w:numPr>
        <w:autoSpaceDE w:val="0"/>
        <w:autoSpaceDN w:val="0"/>
        <w:adjustRightInd w:val="0"/>
        <w:spacing w:after="0" w:line="240" w:lineRule="auto"/>
        <w:rPr>
          <w:rFonts w:eastAsia="Times New Roman" w:cs="Arial"/>
          <w:noProof/>
          <w:szCs w:val="24"/>
          <w:lang w:eastAsia="de-DE"/>
        </w:rPr>
      </w:pPr>
      <w:r>
        <w:rPr>
          <w:rFonts w:eastAsia="Times New Roman" w:cs="Arial"/>
          <w:noProof/>
          <w:szCs w:val="24"/>
          <w:lang w:eastAsia="de-DE"/>
        </w:rPr>
        <w:t>Neue Einsatzstoffe in der OM6</w:t>
      </w:r>
    </w:p>
    <w:p>
      <w:pPr>
        <w:pStyle w:val="Listenabsatz"/>
        <w:numPr>
          <w:ilvl w:val="0"/>
          <w:numId w:val="1"/>
        </w:numPr>
        <w:autoSpaceDE w:val="0"/>
        <w:autoSpaceDN w:val="0"/>
        <w:adjustRightInd w:val="0"/>
        <w:spacing w:after="0" w:line="240" w:lineRule="auto"/>
        <w:rPr>
          <w:rFonts w:eastAsia="Times New Roman" w:cs="Arial"/>
          <w:noProof/>
          <w:szCs w:val="24"/>
          <w:lang w:eastAsia="de-DE"/>
        </w:rPr>
      </w:pPr>
      <w:r>
        <w:rPr>
          <w:rFonts w:eastAsia="Times New Roman" w:cs="Arial"/>
          <w:noProof/>
          <w:szCs w:val="24"/>
          <w:lang w:eastAsia="de-DE"/>
        </w:rPr>
        <w:t>Genehmigungsbereinigung</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Bei dem vorliegenden Antrag handelt es sich um ein Änderungsvorhaben nach Nr. 4.2 der Anlage 1 des UVPG. Es wurde eine allgemeine Vorprüfung nach § 9 i.V.m.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relevanten neuen Luftverunreinigungen aufgrund der ausschließlichen Verwendung und Lagerung der Stoffe in geschlossenen Systemen. Auf die Schallimmissionssituation in der Umgebung wirkt sich das Vorhaben insgesamt neutral aus, da mit dem Antragsgegenstand keine Maßnahmen verbunden sind, die relevant zum Lärmgeschehen beitragen. Auswirkungen auf den Natur- und Artenschutz sowie relevante Bodenbelastungen finden nicht statt, da für das Vorhaben keine neue Fläche in seit Jahrzehnten industriell genutztem Gebiet versiegelt wird. Eine Gefährdung des Wassers ist ebenfalls nicht zu besorgen, da wassergefährdende Stoffe der Verordnung über Anlagen zum Umgang mit wassergefährdenden Stoffen (AwSV) entsprechend gehandhabt werden. Für die zusätzlich anfallenden Abfälle und Abwässer liegen entsprechende Entsorgungsnachweise bzw. eine Übernahmeerklärung der Kläranlage vor.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gez. Kröger</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106E"/>
    <w:multiLevelType w:val="hybridMultilevel"/>
    <w:tmpl w:val="7F8C8F7A"/>
    <w:lvl w:ilvl="0" w:tplc="5CA6DD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DCE4C-16E5-43A6-B348-F0443A61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4</cp:revision>
  <dcterms:created xsi:type="dcterms:W3CDTF">2023-12-11T10:28:00Z</dcterms:created>
  <dcterms:modified xsi:type="dcterms:W3CDTF">2023-12-20T07:50:00Z</dcterms:modified>
</cp:coreProperties>
</file>