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0A0C" w14:textId="08847318" w:rsidR="002F6892" w:rsidRDefault="006C634D" w:rsidP="00FA539E">
      <w:pPr>
        <w:rPr>
          <w:b/>
          <w:szCs w:val="24"/>
        </w:rPr>
      </w:pPr>
      <w:r w:rsidRPr="001E1078">
        <w:rPr>
          <w:b/>
          <w:szCs w:val="24"/>
        </w:rPr>
        <w:t>Vorprüfung zur Umweltverträglichkeitsprüfung</w:t>
      </w:r>
      <w:r w:rsidR="007F44DB">
        <w:rPr>
          <w:b/>
          <w:szCs w:val="24"/>
        </w:rPr>
        <w:tab/>
      </w:r>
      <w:r w:rsidR="007F44DB">
        <w:rPr>
          <w:b/>
          <w:szCs w:val="24"/>
        </w:rPr>
        <w:tab/>
      </w:r>
      <w:r w:rsidR="007F44DB">
        <w:rPr>
          <w:b/>
          <w:szCs w:val="24"/>
        </w:rPr>
        <w:tab/>
      </w:r>
    </w:p>
    <w:p w14:paraId="410BF5DA" w14:textId="77777777" w:rsidR="00E52A3E" w:rsidRDefault="00E52A3E" w:rsidP="00E52A3E">
      <w:pPr>
        <w:pStyle w:val="berschrift1"/>
        <w:rPr>
          <w:sz w:val="24"/>
        </w:rPr>
      </w:pPr>
      <w:r>
        <w:rPr>
          <w:sz w:val="24"/>
        </w:rPr>
        <w:t>Standortbezogene Vorprüfung des Einzelfalls nach § 7 Abs. 2 des UVPG</w:t>
      </w:r>
    </w:p>
    <w:p w14:paraId="02E38224" w14:textId="77777777" w:rsidR="00E52A3E" w:rsidRDefault="00E52A3E" w:rsidP="00E52A3E">
      <w:pPr>
        <w:jc w:val="both"/>
        <w:rPr>
          <w:b/>
          <w:bCs/>
        </w:rPr>
      </w:pPr>
    </w:p>
    <w:p w14:paraId="6D045FAA" w14:textId="69A4AF62" w:rsidR="00E52A3E" w:rsidRDefault="00E52A3E" w:rsidP="00E52A3E">
      <w:pPr>
        <w:ind w:left="2160" w:hanging="2160"/>
        <w:jc w:val="both"/>
        <w:rPr>
          <w:b/>
          <w:bCs/>
        </w:rPr>
      </w:pPr>
      <w:r>
        <w:rPr>
          <w:b/>
          <w:bCs/>
        </w:rPr>
        <w:t>Vorhaben:</w:t>
      </w:r>
      <w:r>
        <w:rPr>
          <w:b/>
          <w:bCs/>
        </w:rPr>
        <w:tab/>
      </w:r>
      <w:proofErr w:type="spellStart"/>
      <w:r w:rsidRPr="0064301D">
        <w:rPr>
          <w:b/>
          <w:szCs w:val="24"/>
          <w:u w:val="single"/>
        </w:rPr>
        <w:t>Repowering</w:t>
      </w:r>
      <w:proofErr w:type="spellEnd"/>
      <w:r w:rsidRPr="0064301D">
        <w:rPr>
          <w:b/>
          <w:szCs w:val="24"/>
          <w:u w:val="single"/>
        </w:rPr>
        <w:t xml:space="preserve"> nach § 16b </w:t>
      </w:r>
      <w:r>
        <w:rPr>
          <w:b/>
          <w:szCs w:val="24"/>
          <w:u w:val="single"/>
        </w:rPr>
        <w:t xml:space="preserve">BImSchG </w:t>
      </w:r>
      <w:r w:rsidRPr="0064301D">
        <w:rPr>
          <w:b/>
          <w:szCs w:val="24"/>
          <w:u w:val="single"/>
        </w:rPr>
        <w:t>einer WEA in Hille</w:t>
      </w:r>
    </w:p>
    <w:p w14:paraId="4F691427" w14:textId="0EF37104" w:rsidR="00E52A3E" w:rsidRDefault="00E52A3E" w:rsidP="00E52A3E">
      <w:pPr>
        <w:ind w:left="2160" w:hanging="2160"/>
      </w:pPr>
      <w:r>
        <w:rPr>
          <w:b/>
          <w:bCs/>
        </w:rPr>
        <w:t>Antragsteller:</w:t>
      </w:r>
      <w:r>
        <w:rPr>
          <w:b/>
          <w:bCs/>
        </w:rPr>
        <w:tab/>
      </w:r>
      <w:proofErr w:type="spellStart"/>
      <w:r w:rsidR="00277AFB">
        <w:t>Winconcept</w:t>
      </w:r>
      <w:proofErr w:type="spellEnd"/>
      <w:r w:rsidR="00277AFB">
        <w:t xml:space="preserve"> GmbH, Inh. Reinhard Steinmann</w:t>
      </w:r>
      <w:r w:rsidR="002C1F92">
        <w:br/>
      </w:r>
      <w:proofErr w:type="spellStart"/>
      <w:r w:rsidR="00277AFB">
        <w:t>Erfmeyerstraße</w:t>
      </w:r>
      <w:proofErr w:type="spellEnd"/>
      <w:r w:rsidR="00277AFB">
        <w:t xml:space="preserve"> 6</w:t>
      </w:r>
      <w:r w:rsidR="002C1F92">
        <w:br/>
      </w:r>
      <w:r w:rsidR="00277AFB">
        <w:t>32339 Espelkamp</w:t>
      </w:r>
    </w:p>
    <w:p w14:paraId="0D370CA4" w14:textId="161A4475" w:rsidR="00E52A3E" w:rsidRDefault="00E52A3E" w:rsidP="00E52A3E">
      <w:pPr>
        <w:ind w:left="2160" w:hanging="2160"/>
        <w:jc w:val="both"/>
      </w:pPr>
      <w:r>
        <w:rPr>
          <w:b/>
          <w:bCs/>
        </w:rPr>
        <w:t>AZ:</w:t>
      </w:r>
      <w:r>
        <w:rPr>
          <w:b/>
          <w:bCs/>
        </w:rPr>
        <w:tab/>
        <w:t>770.0011/24/1.6.2</w:t>
      </w:r>
    </w:p>
    <w:p w14:paraId="444DBAB2" w14:textId="3ECF1E9E" w:rsidR="00E52A3E" w:rsidRDefault="00E52A3E" w:rsidP="00E52A3E">
      <w:pPr>
        <w:autoSpaceDE w:val="0"/>
        <w:autoSpaceDN w:val="0"/>
        <w:adjustRightInd w:val="0"/>
        <w:spacing w:after="0"/>
        <w:jc w:val="both"/>
        <w:rPr>
          <w:rFonts w:cs="Arial"/>
          <w:color w:val="000000" w:themeColor="text1"/>
          <w:szCs w:val="24"/>
        </w:rPr>
      </w:pPr>
      <w:r>
        <w:rPr>
          <w:b/>
          <w:bCs/>
        </w:rPr>
        <w:t>Anlagenstandort:</w:t>
      </w:r>
      <w:r>
        <w:rPr>
          <w:b/>
          <w:bCs/>
        </w:rPr>
        <w:tab/>
      </w:r>
      <w:r w:rsidRPr="00614F5F">
        <w:rPr>
          <w:rFonts w:cs="Arial"/>
          <w:color w:val="000000" w:themeColor="text1"/>
          <w:szCs w:val="24"/>
        </w:rPr>
        <w:t>Gemeinde Hille, Gemarkung Hille, Flur 9, Flurstück 11</w:t>
      </w:r>
    </w:p>
    <w:p w14:paraId="2AD66E37" w14:textId="77777777" w:rsidR="005B5F8F" w:rsidRPr="00614F5F" w:rsidRDefault="005B5F8F" w:rsidP="00E52A3E">
      <w:pPr>
        <w:autoSpaceDE w:val="0"/>
        <w:autoSpaceDN w:val="0"/>
        <w:adjustRightInd w:val="0"/>
        <w:spacing w:after="0"/>
        <w:jc w:val="both"/>
        <w:rPr>
          <w:rFonts w:cs="Arial"/>
          <w:color w:val="000000" w:themeColor="text1"/>
          <w:szCs w:val="24"/>
        </w:rPr>
      </w:pPr>
    </w:p>
    <w:p w14:paraId="13EC9558" w14:textId="664CEB76" w:rsidR="00E52A3E" w:rsidRPr="005B5F8F" w:rsidRDefault="005B5F8F" w:rsidP="00E52A3E">
      <w:pPr>
        <w:ind w:left="2160" w:hanging="2160"/>
        <w:jc w:val="both"/>
        <w:rPr>
          <w:b/>
          <w:bCs/>
        </w:rPr>
      </w:pPr>
      <w:r w:rsidRPr="005B5F8F">
        <w:rPr>
          <w:rFonts w:cstheme="minorHAnsi"/>
          <w:b/>
          <w:bCs/>
        </w:rPr>
        <w:t>1. Feststellung der UVP-Pflicht</w:t>
      </w:r>
    </w:p>
    <w:p w14:paraId="25D1D453" w14:textId="26BBFE91" w:rsidR="00D06190" w:rsidRPr="00D06190" w:rsidRDefault="00D06190" w:rsidP="00D06190">
      <w:pPr>
        <w:jc w:val="both"/>
      </w:pPr>
      <w:r w:rsidRPr="00D06190">
        <w:t>Das beantragte Vorhaben</w:t>
      </w:r>
      <w:r w:rsidR="004F2E0D">
        <w:t xml:space="preserve"> </w:t>
      </w:r>
      <w:r w:rsidR="005B5F8F">
        <w:t>der Firma</w:t>
      </w:r>
      <w:r w:rsidR="004F2E0D">
        <w:t xml:space="preserve"> Windconcept, Inh. Reinhard Steinmann,</w:t>
      </w:r>
      <w:r w:rsidRPr="00D06190">
        <w:t xml:space="preserve"> fällt in den Anwendungsbereich des UVPG</w:t>
      </w:r>
      <w:r w:rsidR="00865F90">
        <w:t xml:space="preserve"> </w:t>
      </w:r>
      <w:r w:rsidR="00865F90" w:rsidRPr="00865F90">
        <w:t>(Gesetz über die Umweltverträglichkeitsprüfung)</w:t>
      </w:r>
      <w:r w:rsidR="004F2E0D">
        <w:t>, wonach eine Vorprüfung des Einzelfalls gem. § 7 Abs. 2 UVPG durchzuführen ist</w:t>
      </w:r>
      <w:r>
        <w:t>:</w:t>
      </w:r>
    </w:p>
    <w:p w14:paraId="74B79546" w14:textId="7D9CB8AA" w:rsidR="00D06190" w:rsidRDefault="00D06190" w:rsidP="00B44C5B">
      <w:pPr>
        <w:jc w:val="both"/>
      </w:pPr>
      <w:r>
        <w:t xml:space="preserve">Die zu </w:t>
      </w:r>
      <w:proofErr w:type="spellStart"/>
      <w:r>
        <w:t>repowernde</w:t>
      </w:r>
      <w:proofErr w:type="spellEnd"/>
      <w:r>
        <w:t xml:space="preserve"> Windenergieanlage gehört zu einem Windpark, der drei WEA umfasst. Eine von den drei WEA wird durch das </w:t>
      </w:r>
      <w:proofErr w:type="spellStart"/>
      <w:r>
        <w:t>Repowering</w:t>
      </w:r>
      <w:proofErr w:type="spellEnd"/>
      <w:r>
        <w:t xml:space="preserve"> ersetzt. Das Vorhaben lässt sich somit der Nr. 1.6.3 der Anlage 1 zum UVPG zuordnen</w:t>
      </w:r>
      <w:r w:rsidR="004F2E0D">
        <w:t xml:space="preserve"> - b</w:t>
      </w:r>
      <w:r>
        <w:t>ei Wind</w:t>
      </w:r>
      <w:r w:rsidR="001A7A0D">
        <w:t>farmen</w:t>
      </w:r>
      <w:r>
        <w:t xml:space="preserve"> mit einer Anlagenzahl von 3 bis 6 Anlagen</w:t>
      </w:r>
      <w:r w:rsidR="004F2E0D">
        <w:t xml:space="preserve"> ist</w:t>
      </w:r>
      <w:r>
        <w:t xml:space="preserve"> eine standortbezogene Vorprüfung des Einzelfalls </w:t>
      </w:r>
      <w:r w:rsidR="004F2E0D">
        <w:t xml:space="preserve">gem. § 7 Abs. 2 UVPG </w:t>
      </w:r>
      <w:r>
        <w:t xml:space="preserve">vorzunehmen. </w:t>
      </w:r>
    </w:p>
    <w:p w14:paraId="6F137E0C" w14:textId="77777777" w:rsidR="005B5F8F" w:rsidRDefault="005B5F8F" w:rsidP="001F5506">
      <w:pPr>
        <w:jc w:val="both"/>
        <w:rPr>
          <w:b/>
          <w:bCs/>
        </w:rPr>
      </w:pPr>
    </w:p>
    <w:p w14:paraId="5B3777F2" w14:textId="6EBD4BD8" w:rsidR="001F5506" w:rsidRDefault="001F5506" w:rsidP="001F5506">
      <w:pPr>
        <w:jc w:val="both"/>
        <w:rPr>
          <w:b/>
          <w:bCs/>
        </w:rPr>
      </w:pPr>
      <w:r>
        <w:rPr>
          <w:b/>
          <w:bCs/>
        </w:rPr>
        <w:t>2. Durchprüfung der standortbezogenen Vorprüfung des Einzelfalls</w:t>
      </w:r>
    </w:p>
    <w:p w14:paraId="24F9C4EB" w14:textId="17F8BEF0" w:rsidR="00640A51" w:rsidRPr="00640A51" w:rsidRDefault="001F5506" w:rsidP="00640A51">
      <w:pPr>
        <w:autoSpaceDE w:val="0"/>
        <w:autoSpaceDN w:val="0"/>
        <w:adjustRightInd w:val="0"/>
        <w:jc w:val="both"/>
        <w:rPr>
          <w:rFonts w:cs="Arial"/>
          <w:b/>
          <w:bCs/>
        </w:rPr>
      </w:pPr>
      <w:r>
        <w:rPr>
          <w:rFonts w:cs="Arial"/>
          <w:b/>
          <w:bCs/>
        </w:rPr>
        <w:t>Ablauf der standortbezogenen Vorprüfung des Einzelfalls</w:t>
      </w:r>
    </w:p>
    <w:p w14:paraId="7B4B358F" w14:textId="064F22E1" w:rsidR="00640A51" w:rsidRDefault="00640A51" w:rsidP="001F5506">
      <w:pPr>
        <w:pStyle w:val="Textkrper3"/>
        <w:rPr>
          <w:sz w:val="24"/>
          <w:szCs w:val="22"/>
        </w:rPr>
      </w:pPr>
      <w:r w:rsidRPr="00640A51">
        <w:rPr>
          <w:sz w:val="24"/>
          <w:szCs w:val="22"/>
        </w:rPr>
        <w:t>Bei einem Neuvorhaben, das in Anlage 1 Spalte 2 mit dem Buchstaben „S“ gekennzeichnet ist, führt die zuständige Behörde eine standortbezogene Vorprüfung zur Feststellung der UVP-Pflicht durch. Die standortbezogene Vorprüfung wird als überschlägige Prüfung in zwei Stufen durchgeführt. In der ersten Stufe prüft die zuständige Behörde, ob bei dem Neuvorhaben besondere örtliche Gegebenheiten gemäß den in Anlage 3 Nummer 2.3 aufgeführten Schutzkriterien vorliegen. Ergibt die Prüfung in der ersten Stufe, dass keine besonderen örtlichen Gegebenheiten vorliegen, so besteht keine UVP-Pflicht. Ergibt die Prüfung in der ersten Stufe, dass besondere örtliche Gegebenheiten vorliegen, so prüft die Behörde auf der zweiten Stufe unter Berücksichtigung der in Anlage 3 aufgeführten Kriterien, ob das Neuvorhaben erhebliche nachteilige Umweltauswirkungen haben kann, die die besondere Empfindlichkeit oder die Schutzziele des Gebietes betreffen und nach § 25 Absatz 2 bei der Zulassungsentscheidung zu berücksichtigen wären. Die UVP-Pflicht besteht, wenn das Neuvorhaben nach Einschätzung der zuständigen Behörde solche Umweltauswirkungen haben kann.</w:t>
      </w:r>
    </w:p>
    <w:p w14:paraId="757F4C11" w14:textId="77777777" w:rsidR="00640A51" w:rsidRDefault="00640A51" w:rsidP="001F5506">
      <w:pPr>
        <w:pStyle w:val="Textkrper3"/>
        <w:rPr>
          <w:sz w:val="24"/>
          <w:szCs w:val="22"/>
        </w:rPr>
      </w:pPr>
    </w:p>
    <w:p w14:paraId="7A7F1A01" w14:textId="69751CC4" w:rsidR="001F5506" w:rsidRPr="00640A51" w:rsidRDefault="00DB3891" w:rsidP="001F5506">
      <w:pPr>
        <w:pStyle w:val="Textkrper3"/>
        <w:rPr>
          <w:b/>
          <w:bCs/>
          <w:sz w:val="40"/>
          <w:szCs w:val="36"/>
        </w:rPr>
      </w:pPr>
      <w:r w:rsidRPr="00640A51">
        <w:rPr>
          <w:rFonts w:cs="Arial"/>
          <w:b/>
          <w:bCs/>
          <w:sz w:val="24"/>
          <w:szCs w:val="24"/>
        </w:rPr>
        <w:t>Ist ein in Nr. 2.3 de</w:t>
      </w:r>
      <w:r w:rsidR="005B5F8F">
        <w:rPr>
          <w:rFonts w:cs="Arial"/>
          <w:b/>
          <w:bCs/>
          <w:sz w:val="24"/>
          <w:szCs w:val="24"/>
        </w:rPr>
        <w:t xml:space="preserve">r Anlage 3 </w:t>
      </w:r>
      <w:r w:rsidRPr="00640A51">
        <w:rPr>
          <w:rFonts w:cs="Arial"/>
          <w:b/>
          <w:bCs/>
          <w:sz w:val="24"/>
          <w:szCs w:val="24"/>
        </w:rPr>
        <w:t>zum UVPG genanntes besonders empfindliches Gebiet durch das Vorhaben betroffen?</w:t>
      </w:r>
    </w:p>
    <w:p w14:paraId="5F7AE64B" w14:textId="656C6716" w:rsidR="003D7FF2" w:rsidRPr="00BC3716" w:rsidRDefault="003D7FF2" w:rsidP="00BC3716">
      <w:pPr>
        <w:pStyle w:val="Textkrper3"/>
        <w:rPr>
          <w:sz w:val="24"/>
          <w:szCs w:val="22"/>
        </w:rPr>
      </w:pPr>
      <w:r>
        <w:rPr>
          <w:sz w:val="24"/>
          <w:szCs w:val="22"/>
        </w:rPr>
        <w:t xml:space="preserve">Im Folgenden </w:t>
      </w:r>
      <w:r w:rsidR="005B5F8F">
        <w:rPr>
          <w:sz w:val="24"/>
          <w:szCs w:val="22"/>
        </w:rPr>
        <w:t>werden</w:t>
      </w:r>
      <w:r>
        <w:rPr>
          <w:sz w:val="24"/>
          <w:szCs w:val="22"/>
        </w:rPr>
        <w:t xml:space="preserve"> </w:t>
      </w:r>
      <w:r w:rsidR="005B5F8F">
        <w:rPr>
          <w:sz w:val="24"/>
          <w:szCs w:val="22"/>
        </w:rPr>
        <w:t xml:space="preserve">das Vorkommen und die potentielle Betroffenheit der in </w:t>
      </w:r>
      <w:r>
        <w:rPr>
          <w:sz w:val="24"/>
          <w:szCs w:val="22"/>
        </w:rPr>
        <w:t>Nr. 2.3 der Anlage 3 zum UVPG</w:t>
      </w:r>
      <w:r w:rsidR="005B5F8F">
        <w:rPr>
          <w:sz w:val="24"/>
          <w:szCs w:val="22"/>
        </w:rPr>
        <w:t xml:space="preserve"> aufgeführten Gebiete geprüft und bewertet</w:t>
      </w:r>
      <w:r>
        <w:rPr>
          <w:sz w:val="24"/>
          <w:szCs w:val="22"/>
        </w:rPr>
        <w:t xml:space="preserve">: </w:t>
      </w:r>
    </w:p>
    <w:tbl>
      <w:tblPr>
        <w:tblStyle w:val="Tabellenraster"/>
        <w:tblW w:w="9918" w:type="dxa"/>
        <w:tblLook w:val="04A0" w:firstRow="1" w:lastRow="0" w:firstColumn="1" w:lastColumn="0" w:noHBand="0" w:noVBand="1"/>
      </w:tblPr>
      <w:tblGrid>
        <w:gridCol w:w="831"/>
        <w:gridCol w:w="4463"/>
        <w:gridCol w:w="4624"/>
      </w:tblGrid>
      <w:tr w:rsidR="003D7FF2" w14:paraId="4595300D" w14:textId="77777777" w:rsidTr="001A1D72">
        <w:tc>
          <w:tcPr>
            <w:tcW w:w="831" w:type="dxa"/>
            <w:shd w:val="clear" w:color="auto" w:fill="D9D9D9" w:themeFill="background1" w:themeFillShade="D9"/>
          </w:tcPr>
          <w:p w14:paraId="08E1BD24" w14:textId="77777777" w:rsidR="003D7FF2" w:rsidRPr="00D5550A" w:rsidRDefault="003D7FF2" w:rsidP="001A1D72">
            <w:pPr>
              <w:jc w:val="center"/>
              <w:rPr>
                <w:b/>
              </w:rPr>
            </w:pPr>
            <w:r w:rsidRPr="00D5550A">
              <w:rPr>
                <w:b/>
              </w:rPr>
              <w:lastRenderedPageBreak/>
              <w:t>2.3</w:t>
            </w:r>
          </w:p>
        </w:tc>
        <w:tc>
          <w:tcPr>
            <w:tcW w:w="9087" w:type="dxa"/>
            <w:gridSpan w:val="2"/>
            <w:shd w:val="clear" w:color="auto" w:fill="D9D9D9" w:themeFill="background1" w:themeFillShade="D9"/>
          </w:tcPr>
          <w:p w14:paraId="5721C526" w14:textId="77777777" w:rsidR="003D7FF2" w:rsidRDefault="003D7FF2" w:rsidP="001A1D72">
            <w:r>
              <w:t>Belastbarkeit der Schutzgüter unter besonderer Berücksichtigung folgender Gebiete und von Art und Umfang des ihnen jeweils zugewiesenen Schutzes (Schutzkriterien):</w:t>
            </w:r>
          </w:p>
        </w:tc>
      </w:tr>
      <w:tr w:rsidR="003D7FF2" w14:paraId="660C5686" w14:textId="77777777" w:rsidTr="001A1D72">
        <w:tc>
          <w:tcPr>
            <w:tcW w:w="831" w:type="dxa"/>
            <w:shd w:val="clear" w:color="auto" w:fill="D9D9D9" w:themeFill="background1" w:themeFillShade="D9"/>
          </w:tcPr>
          <w:p w14:paraId="0761361F" w14:textId="77777777" w:rsidR="003D7FF2" w:rsidRPr="00D5550A" w:rsidRDefault="003D7FF2" w:rsidP="001A1D72">
            <w:pPr>
              <w:jc w:val="center"/>
              <w:rPr>
                <w:b/>
              </w:rPr>
            </w:pPr>
            <w:r w:rsidRPr="00D5550A">
              <w:rPr>
                <w:b/>
              </w:rPr>
              <w:t>2.3.1</w:t>
            </w:r>
          </w:p>
        </w:tc>
        <w:tc>
          <w:tcPr>
            <w:tcW w:w="4463" w:type="dxa"/>
          </w:tcPr>
          <w:p w14:paraId="3765FD1B" w14:textId="4A1F5709" w:rsidR="003D7FF2" w:rsidRDefault="003D7FF2" w:rsidP="001A1D72">
            <w:r>
              <w:t xml:space="preserve">Natura 2000-Gebiete nach § 7 Abs. 1 </w:t>
            </w:r>
            <w:r w:rsidR="005B5F8F">
              <w:t>N</w:t>
            </w:r>
            <w:r>
              <w:t>r. 8 B</w:t>
            </w:r>
            <w:r w:rsidR="00F763B1">
              <w:t>N</w:t>
            </w:r>
            <w:r>
              <w:t>atSchG (z.B. FFH- oder Vogelschutzgebiete)</w:t>
            </w:r>
          </w:p>
        </w:tc>
        <w:tc>
          <w:tcPr>
            <w:tcW w:w="4624" w:type="dxa"/>
          </w:tcPr>
          <w:p w14:paraId="5EABD756" w14:textId="596E85C7" w:rsidR="003D7FF2" w:rsidRDefault="003D7FF2" w:rsidP="001A1D72">
            <w:pPr>
              <w:pStyle w:val="Listenabsatz"/>
              <w:numPr>
                <w:ilvl w:val="0"/>
                <w:numId w:val="4"/>
              </w:numPr>
              <w:ind w:left="256" w:hanging="256"/>
            </w:pPr>
            <w:r>
              <w:t xml:space="preserve">FFH-Gebiet DE-3618-301 „Großes Torfmoor, Altes Moor“ – Entfernung ca. 660 m; </w:t>
            </w:r>
            <w:r w:rsidR="00332E63">
              <w:t>e</w:t>
            </w:r>
            <w:r>
              <w:t xml:space="preserve">ine Beeinträchtigung kann ausgeschlossen werden, da keine Lebensraumtypen direkt betroffen sind. </w:t>
            </w:r>
          </w:p>
          <w:p w14:paraId="0170F8FB" w14:textId="1DDDA4EA" w:rsidR="003D7FF2" w:rsidRDefault="003D7FF2" w:rsidP="001A1D72">
            <w:pPr>
              <w:pStyle w:val="Listenabsatz"/>
              <w:numPr>
                <w:ilvl w:val="0"/>
                <w:numId w:val="4"/>
              </w:numPr>
              <w:ind w:left="256" w:hanging="256"/>
            </w:pPr>
            <w:r>
              <w:t>EU-Vogelschutzgebiet DE 3618-401 „</w:t>
            </w:r>
            <w:proofErr w:type="spellStart"/>
            <w:r>
              <w:t>Bastauniederung</w:t>
            </w:r>
            <w:proofErr w:type="spellEnd"/>
            <w:r>
              <w:t>“ – Entfernung ca. 660 m; Im Nahbereich wurden keine WEA-empfindlichen Brutvogelarten nachgewiesen. Einige Arten wurden als sporadische Nahrungsgäste erfasst</w:t>
            </w:r>
            <w:r w:rsidR="00314498">
              <w:t>. E</w:t>
            </w:r>
            <w:r>
              <w:t xml:space="preserve">inzig der Weißstorch nutzt die Grünflächen im Umfeld der geplanten WEA regelmäßig als Nahrungshabitat. </w:t>
            </w:r>
          </w:p>
        </w:tc>
      </w:tr>
      <w:tr w:rsidR="003D7FF2" w14:paraId="37919DD0" w14:textId="77777777" w:rsidTr="001A1D72">
        <w:tc>
          <w:tcPr>
            <w:tcW w:w="831" w:type="dxa"/>
            <w:shd w:val="clear" w:color="auto" w:fill="D9D9D9" w:themeFill="background1" w:themeFillShade="D9"/>
          </w:tcPr>
          <w:p w14:paraId="02604C5E" w14:textId="77777777" w:rsidR="003D7FF2" w:rsidRPr="00D5550A" w:rsidRDefault="003D7FF2" w:rsidP="001A1D72">
            <w:pPr>
              <w:jc w:val="center"/>
              <w:rPr>
                <w:b/>
              </w:rPr>
            </w:pPr>
            <w:r w:rsidRPr="00D5550A">
              <w:rPr>
                <w:b/>
              </w:rPr>
              <w:t>2.3.2</w:t>
            </w:r>
          </w:p>
        </w:tc>
        <w:tc>
          <w:tcPr>
            <w:tcW w:w="4463" w:type="dxa"/>
          </w:tcPr>
          <w:p w14:paraId="435E707D" w14:textId="1B48D007" w:rsidR="003D7FF2" w:rsidRDefault="003D7FF2" w:rsidP="001A1D72">
            <w:r>
              <w:t>Naturschutzgebiete nach § 23 BNat</w:t>
            </w:r>
            <w:r w:rsidR="007F44DB">
              <w:t>S</w:t>
            </w:r>
            <w:r>
              <w:t>chG, soweit nicht bereits von Nr. 2.3.1 erfasst</w:t>
            </w:r>
          </w:p>
        </w:tc>
        <w:tc>
          <w:tcPr>
            <w:tcW w:w="4624" w:type="dxa"/>
          </w:tcPr>
          <w:p w14:paraId="190E4A0D" w14:textId="44E2F9E1" w:rsidR="003D7FF2" w:rsidRDefault="003D7FF2" w:rsidP="001A1D72">
            <w:pPr>
              <w:pStyle w:val="Listenabsatz"/>
              <w:numPr>
                <w:ilvl w:val="0"/>
                <w:numId w:val="3"/>
              </w:numPr>
              <w:ind w:left="256" w:hanging="256"/>
            </w:pPr>
            <w:r>
              <w:t>NSG Mi 019 „Altes Moor“ – Entfernung ca. 660 m</w:t>
            </w:r>
            <w:r w:rsidR="00314498">
              <w:t>, Schutzzweck: Moorbiotope und ihren Arten, Heidegebiete</w:t>
            </w:r>
          </w:p>
          <w:p w14:paraId="543B88A6" w14:textId="6F103A7F" w:rsidR="003D7FF2" w:rsidRDefault="003D7FF2" w:rsidP="001A1D72">
            <w:pPr>
              <w:pStyle w:val="Listenabsatz"/>
              <w:numPr>
                <w:ilvl w:val="0"/>
                <w:numId w:val="3"/>
              </w:numPr>
              <w:ind w:left="256" w:hanging="256"/>
            </w:pPr>
            <w:r>
              <w:t>NSG Mi 012 „</w:t>
            </w:r>
            <w:proofErr w:type="spellStart"/>
            <w:r>
              <w:t>Neuenbaumer</w:t>
            </w:r>
            <w:proofErr w:type="spellEnd"/>
            <w:r>
              <w:t xml:space="preserve"> Moor“ – Entfernung 1360 m</w:t>
            </w:r>
            <w:r w:rsidR="00314498">
              <w:t>, Schutzzweck: der im VGS gelistete Vogelarten</w:t>
            </w:r>
          </w:p>
          <w:p w14:paraId="0AF61D6D" w14:textId="2A626D71" w:rsidR="003D7FF2" w:rsidRDefault="003D7FF2" w:rsidP="001A1D72">
            <w:pPr>
              <w:pStyle w:val="Listenabsatz"/>
              <w:ind w:left="256"/>
            </w:pPr>
            <w:r>
              <w:t>(Beide NSG sind in weiten Tei</w:t>
            </w:r>
            <w:r w:rsidR="00314498">
              <w:t>le</w:t>
            </w:r>
            <w:r>
              <w:t>n flächendeckend mit dem FFH-Gebiet DE-3618-301)</w:t>
            </w:r>
          </w:p>
          <w:p w14:paraId="1ED39F43" w14:textId="77777777" w:rsidR="003D7FF2" w:rsidRDefault="003D7FF2" w:rsidP="001A1D72">
            <w:pPr>
              <w:pStyle w:val="Listenabsatz"/>
              <w:ind w:left="256"/>
            </w:pPr>
          </w:p>
        </w:tc>
      </w:tr>
      <w:tr w:rsidR="003D7FF2" w14:paraId="3B4ED749" w14:textId="77777777" w:rsidTr="001A1D72">
        <w:tc>
          <w:tcPr>
            <w:tcW w:w="831" w:type="dxa"/>
            <w:shd w:val="clear" w:color="auto" w:fill="D9D9D9" w:themeFill="background1" w:themeFillShade="D9"/>
          </w:tcPr>
          <w:p w14:paraId="6860118C" w14:textId="77777777" w:rsidR="003D7FF2" w:rsidRPr="00D5550A" w:rsidRDefault="003D7FF2" w:rsidP="001A1D72">
            <w:pPr>
              <w:jc w:val="center"/>
              <w:rPr>
                <w:b/>
              </w:rPr>
            </w:pPr>
            <w:r w:rsidRPr="00D5550A">
              <w:rPr>
                <w:b/>
              </w:rPr>
              <w:t>2.3.3</w:t>
            </w:r>
          </w:p>
        </w:tc>
        <w:tc>
          <w:tcPr>
            <w:tcW w:w="4463" w:type="dxa"/>
          </w:tcPr>
          <w:p w14:paraId="488E11A8" w14:textId="28E1BD0B" w:rsidR="003D7FF2" w:rsidRDefault="003D7FF2" w:rsidP="001A1D72">
            <w:r>
              <w:t>Nationalparke und Nationale Naturmonumente nach § 24 B</w:t>
            </w:r>
            <w:r w:rsidR="0093116D">
              <w:t>N</w:t>
            </w:r>
            <w:r>
              <w:t>atSchG, soweit nicht bereits von Nr. 2.3.1 erfasst</w:t>
            </w:r>
          </w:p>
        </w:tc>
        <w:tc>
          <w:tcPr>
            <w:tcW w:w="4624" w:type="dxa"/>
          </w:tcPr>
          <w:p w14:paraId="0D484628" w14:textId="74CBB27E" w:rsidR="003D7FF2" w:rsidRDefault="00314498" w:rsidP="001A1D72">
            <w:r>
              <w:t>nein</w:t>
            </w:r>
          </w:p>
          <w:p w14:paraId="28B82421" w14:textId="77777777" w:rsidR="003D7FF2" w:rsidRDefault="003D7FF2" w:rsidP="001A1D72"/>
        </w:tc>
      </w:tr>
      <w:tr w:rsidR="003D7FF2" w14:paraId="18A76EB7" w14:textId="77777777" w:rsidTr="001A1D72">
        <w:tc>
          <w:tcPr>
            <w:tcW w:w="831" w:type="dxa"/>
            <w:shd w:val="clear" w:color="auto" w:fill="D9D9D9" w:themeFill="background1" w:themeFillShade="D9"/>
          </w:tcPr>
          <w:p w14:paraId="5AA5E86E" w14:textId="77777777" w:rsidR="003D7FF2" w:rsidRPr="00D5550A" w:rsidRDefault="003D7FF2" w:rsidP="001A1D72">
            <w:pPr>
              <w:jc w:val="center"/>
              <w:rPr>
                <w:b/>
              </w:rPr>
            </w:pPr>
            <w:r w:rsidRPr="00D5550A">
              <w:rPr>
                <w:b/>
              </w:rPr>
              <w:t>2.3.4</w:t>
            </w:r>
          </w:p>
        </w:tc>
        <w:tc>
          <w:tcPr>
            <w:tcW w:w="4463" w:type="dxa"/>
          </w:tcPr>
          <w:p w14:paraId="29D2A6CB" w14:textId="77777777" w:rsidR="003D7FF2" w:rsidRDefault="003D7FF2" w:rsidP="001A1D72">
            <w:r>
              <w:t>Biosphärenreservate und Landschaftsschutzgebiete gemäß §§ 25 und 26 BNatSchG</w:t>
            </w:r>
          </w:p>
        </w:tc>
        <w:tc>
          <w:tcPr>
            <w:tcW w:w="4624" w:type="dxa"/>
          </w:tcPr>
          <w:p w14:paraId="701CA93C" w14:textId="1BC04EC5" w:rsidR="00314498" w:rsidRDefault="00314498" w:rsidP="001A1D72">
            <w:pPr>
              <w:spacing w:line="276" w:lineRule="auto"/>
            </w:pPr>
            <w:r w:rsidRPr="00314498">
              <w:t>Biosphärenreservate</w:t>
            </w:r>
            <w:r>
              <w:t>: nein</w:t>
            </w:r>
          </w:p>
          <w:p w14:paraId="115583A1" w14:textId="1BA5CA0D" w:rsidR="003D7FF2" w:rsidRDefault="003D7FF2" w:rsidP="001A1D72">
            <w:pPr>
              <w:spacing w:line="276" w:lineRule="auto"/>
            </w:pPr>
            <w:r>
              <w:t>Das Vorhaben befindet sich im Landschaft</w:t>
            </w:r>
            <w:r w:rsidR="00332E63">
              <w:t>s</w:t>
            </w:r>
            <w:r>
              <w:t>schutzgebiet „</w:t>
            </w:r>
            <w:r w:rsidR="00332E63">
              <w:t>A</w:t>
            </w:r>
            <w:r>
              <w:t xml:space="preserve">llgemeine Landschaftsschutzgebiete“ (LSG 3518 001). </w:t>
            </w:r>
          </w:p>
        </w:tc>
      </w:tr>
      <w:tr w:rsidR="003D7FF2" w14:paraId="31C830D0" w14:textId="77777777" w:rsidTr="001A1D72">
        <w:tc>
          <w:tcPr>
            <w:tcW w:w="831" w:type="dxa"/>
            <w:shd w:val="clear" w:color="auto" w:fill="D9D9D9" w:themeFill="background1" w:themeFillShade="D9"/>
          </w:tcPr>
          <w:p w14:paraId="6A4F10EF" w14:textId="77777777" w:rsidR="003D7FF2" w:rsidRPr="00D5550A" w:rsidRDefault="003D7FF2" w:rsidP="001A1D72">
            <w:pPr>
              <w:jc w:val="center"/>
              <w:rPr>
                <w:b/>
              </w:rPr>
            </w:pPr>
            <w:r w:rsidRPr="00D5550A">
              <w:rPr>
                <w:b/>
              </w:rPr>
              <w:t>2.3.5</w:t>
            </w:r>
          </w:p>
        </w:tc>
        <w:tc>
          <w:tcPr>
            <w:tcW w:w="4463" w:type="dxa"/>
          </w:tcPr>
          <w:p w14:paraId="76499256" w14:textId="77777777" w:rsidR="003D7FF2" w:rsidRDefault="003D7FF2" w:rsidP="001A1D72">
            <w:r>
              <w:t>Naturdenkmäler nach § 28 BNatSchG</w:t>
            </w:r>
          </w:p>
        </w:tc>
        <w:tc>
          <w:tcPr>
            <w:tcW w:w="4624" w:type="dxa"/>
          </w:tcPr>
          <w:p w14:paraId="7F7FF48F" w14:textId="5038E535" w:rsidR="003D7FF2" w:rsidRDefault="003D7FF2" w:rsidP="001A1D72">
            <w:r>
              <w:t xml:space="preserve">In etwa 680 m Entfernung befinden sich 2 Eichen in einer Baumreihe an der </w:t>
            </w:r>
            <w:proofErr w:type="spellStart"/>
            <w:r>
              <w:t>Frotheimer</w:t>
            </w:r>
            <w:proofErr w:type="spellEnd"/>
            <w:r>
              <w:t xml:space="preserve"> Straße. -3.2.71, Landschaftsplan „</w:t>
            </w:r>
            <w:proofErr w:type="spellStart"/>
            <w:r>
              <w:t>Bastau</w:t>
            </w:r>
            <w:proofErr w:type="spellEnd"/>
            <w:r>
              <w:t>-Niederung-Wickr</w:t>
            </w:r>
            <w:r w:rsidR="00314498">
              <w:t>ie</w:t>
            </w:r>
            <w:r>
              <w:t>de“.</w:t>
            </w:r>
          </w:p>
          <w:p w14:paraId="6AD613F3" w14:textId="36F6BC87" w:rsidR="003D7FF2" w:rsidRDefault="003D7FF2" w:rsidP="001A1D72">
            <w:r>
              <w:t xml:space="preserve">Es findet </w:t>
            </w:r>
            <w:r w:rsidR="0093116D">
              <w:t xml:space="preserve">jedoch </w:t>
            </w:r>
            <w:r>
              <w:t xml:space="preserve">keine </w:t>
            </w:r>
            <w:r w:rsidR="00332E63">
              <w:t>Beeinträchtigung durch die WEA</w:t>
            </w:r>
            <w:r>
              <w:t xml:space="preserve"> statt.</w:t>
            </w:r>
          </w:p>
        </w:tc>
      </w:tr>
      <w:tr w:rsidR="003D7FF2" w14:paraId="0BE4D471" w14:textId="77777777" w:rsidTr="001A1D72">
        <w:tc>
          <w:tcPr>
            <w:tcW w:w="831" w:type="dxa"/>
            <w:shd w:val="clear" w:color="auto" w:fill="D9D9D9" w:themeFill="background1" w:themeFillShade="D9"/>
          </w:tcPr>
          <w:p w14:paraId="680565D0" w14:textId="77777777" w:rsidR="003D7FF2" w:rsidRPr="00D5550A" w:rsidRDefault="003D7FF2" w:rsidP="001A1D72">
            <w:pPr>
              <w:jc w:val="center"/>
              <w:rPr>
                <w:b/>
              </w:rPr>
            </w:pPr>
            <w:r w:rsidRPr="00D5550A">
              <w:rPr>
                <w:b/>
              </w:rPr>
              <w:t>2.3.6</w:t>
            </w:r>
          </w:p>
        </w:tc>
        <w:tc>
          <w:tcPr>
            <w:tcW w:w="4463" w:type="dxa"/>
          </w:tcPr>
          <w:p w14:paraId="321FDCFE" w14:textId="6CB7EBFE" w:rsidR="003D7FF2" w:rsidRDefault="003D7FF2" w:rsidP="001A1D72">
            <w:r w:rsidRPr="005B0DE6">
              <w:t>geschützte Lan</w:t>
            </w:r>
            <w:r w:rsidR="00314498">
              <w:t>d</w:t>
            </w:r>
            <w:r w:rsidRPr="005B0DE6">
              <w:t>schaftsbestandteile, einschließlich Alleen, nach § 29 BNatSchG</w:t>
            </w:r>
          </w:p>
        </w:tc>
        <w:tc>
          <w:tcPr>
            <w:tcW w:w="4624" w:type="dxa"/>
          </w:tcPr>
          <w:p w14:paraId="0B6DBC7E" w14:textId="10B832CD" w:rsidR="003D7FF2" w:rsidRDefault="00314498" w:rsidP="001A1D72">
            <w:r>
              <w:t>nein</w:t>
            </w:r>
          </w:p>
        </w:tc>
      </w:tr>
      <w:tr w:rsidR="003D7FF2" w14:paraId="476117D9" w14:textId="77777777" w:rsidTr="001A1D72">
        <w:tc>
          <w:tcPr>
            <w:tcW w:w="831" w:type="dxa"/>
            <w:shd w:val="clear" w:color="auto" w:fill="D9D9D9" w:themeFill="background1" w:themeFillShade="D9"/>
          </w:tcPr>
          <w:p w14:paraId="64B69C09" w14:textId="77777777" w:rsidR="003D7FF2" w:rsidRPr="00D5550A" w:rsidRDefault="003D7FF2" w:rsidP="001A1D72">
            <w:pPr>
              <w:jc w:val="center"/>
              <w:rPr>
                <w:b/>
              </w:rPr>
            </w:pPr>
            <w:r w:rsidRPr="00D5550A">
              <w:rPr>
                <w:b/>
              </w:rPr>
              <w:t>2.3.7</w:t>
            </w:r>
          </w:p>
        </w:tc>
        <w:tc>
          <w:tcPr>
            <w:tcW w:w="4463" w:type="dxa"/>
          </w:tcPr>
          <w:p w14:paraId="4C8CECD2" w14:textId="77777777" w:rsidR="003D7FF2" w:rsidRDefault="003D7FF2" w:rsidP="001A1D72">
            <w:r>
              <w:t>gesetzlich geschützte Biotope nach § 30 des BNatSchG</w:t>
            </w:r>
          </w:p>
        </w:tc>
        <w:tc>
          <w:tcPr>
            <w:tcW w:w="4624" w:type="dxa"/>
          </w:tcPr>
          <w:p w14:paraId="55660F2D" w14:textId="19B2339A" w:rsidR="003D7FF2" w:rsidRDefault="003D7FF2" w:rsidP="001A1D72">
            <w:r>
              <w:t>In etwa 650 m Entfernung befindet sich ein geschütz</w:t>
            </w:r>
            <w:r w:rsidR="00314498">
              <w:t>t</w:t>
            </w:r>
            <w:r>
              <w:t>es Biotop (BT-MI-00198, BT-MI-00213). Da die Biotope nicht direkt vom Bau betroffen sind, ist nicht mit einer Beeinträchtigung durch die WEA zu rechnen.</w:t>
            </w:r>
          </w:p>
        </w:tc>
      </w:tr>
      <w:tr w:rsidR="003D7FF2" w14:paraId="5042ADFC" w14:textId="77777777" w:rsidTr="001A1D72">
        <w:tc>
          <w:tcPr>
            <w:tcW w:w="831" w:type="dxa"/>
            <w:shd w:val="clear" w:color="auto" w:fill="D9D9D9" w:themeFill="background1" w:themeFillShade="D9"/>
          </w:tcPr>
          <w:p w14:paraId="72DCCC40" w14:textId="77777777" w:rsidR="003D7FF2" w:rsidRPr="00D5550A" w:rsidRDefault="003D7FF2" w:rsidP="001A1D72">
            <w:pPr>
              <w:jc w:val="center"/>
              <w:rPr>
                <w:b/>
              </w:rPr>
            </w:pPr>
            <w:r>
              <w:rPr>
                <w:b/>
              </w:rPr>
              <w:lastRenderedPageBreak/>
              <w:t>2.3.8</w:t>
            </w:r>
          </w:p>
        </w:tc>
        <w:tc>
          <w:tcPr>
            <w:tcW w:w="4463" w:type="dxa"/>
          </w:tcPr>
          <w:p w14:paraId="1B94AD16" w14:textId="77777777" w:rsidR="003D7FF2" w:rsidRDefault="003D7FF2" w:rsidP="001A1D72">
            <w:r>
              <w:t xml:space="preserve">Wasserschutzgebiete nach § 51 WHG, Heilquellenschutzgebiete nach § 53 Abs. 4 WHG, Risikogebiete nach § 73 Abs. 1 WHG sowie Überschwemmungsgebiete nach § 76 WHG </w:t>
            </w:r>
          </w:p>
        </w:tc>
        <w:tc>
          <w:tcPr>
            <w:tcW w:w="4624" w:type="dxa"/>
          </w:tcPr>
          <w:p w14:paraId="31C0E5F5" w14:textId="3FE48898" w:rsidR="003D7FF2" w:rsidRDefault="00314498" w:rsidP="001A1D72">
            <w:r>
              <w:t>nein</w:t>
            </w:r>
          </w:p>
        </w:tc>
      </w:tr>
      <w:tr w:rsidR="003D7FF2" w14:paraId="0D538743" w14:textId="77777777" w:rsidTr="001A1D72">
        <w:tc>
          <w:tcPr>
            <w:tcW w:w="831" w:type="dxa"/>
            <w:shd w:val="clear" w:color="auto" w:fill="D9D9D9" w:themeFill="background1" w:themeFillShade="D9"/>
          </w:tcPr>
          <w:p w14:paraId="29198F6A" w14:textId="77777777" w:rsidR="003D7FF2" w:rsidRPr="00D5550A" w:rsidRDefault="003D7FF2" w:rsidP="001A1D72">
            <w:pPr>
              <w:jc w:val="center"/>
              <w:rPr>
                <w:b/>
              </w:rPr>
            </w:pPr>
            <w:r>
              <w:rPr>
                <w:b/>
              </w:rPr>
              <w:t>2.3.9</w:t>
            </w:r>
          </w:p>
        </w:tc>
        <w:tc>
          <w:tcPr>
            <w:tcW w:w="4463" w:type="dxa"/>
          </w:tcPr>
          <w:p w14:paraId="549F9A71" w14:textId="77777777" w:rsidR="003D7FF2" w:rsidRDefault="003D7FF2" w:rsidP="001A1D72">
            <w:r>
              <w:t xml:space="preserve">Gebiete, in denen die in Vorschriften der Europäischen Union festgelegten Umweltqualitätsnormen bereits überschritten sind </w:t>
            </w:r>
          </w:p>
        </w:tc>
        <w:tc>
          <w:tcPr>
            <w:tcW w:w="4624" w:type="dxa"/>
          </w:tcPr>
          <w:p w14:paraId="09F4BF17" w14:textId="77777777" w:rsidR="003D7FF2" w:rsidRDefault="003D7FF2" w:rsidP="001A1D72">
            <w:r>
              <w:t xml:space="preserve">nein </w:t>
            </w:r>
          </w:p>
        </w:tc>
      </w:tr>
      <w:tr w:rsidR="003D7FF2" w14:paraId="0F830CD9" w14:textId="77777777" w:rsidTr="001A1D72">
        <w:tc>
          <w:tcPr>
            <w:tcW w:w="831" w:type="dxa"/>
            <w:shd w:val="clear" w:color="auto" w:fill="D9D9D9" w:themeFill="background1" w:themeFillShade="D9"/>
          </w:tcPr>
          <w:p w14:paraId="5878C7C4" w14:textId="77777777" w:rsidR="003D7FF2" w:rsidRPr="00D5550A" w:rsidRDefault="003D7FF2" w:rsidP="001A1D72">
            <w:pPr>
              <w:jc w:val="center"/>
              <w:rPr>
                <w:b/>
              </w:rPr>
            </w:pPr>
            <w:r>
              <w:rPr>
                <w:b/>
              </w:rPr>
              <w:t>2.3.10</w:t>
            </w:r>
          </w:p>
        </w:tc>
        <w:tc>
          <w:tcPr>
            <w:tcW w:w="4463" w:type="dxa"/>
          </w:tcPr>
          <w:p w14:paraId="2C948D69" w14:textId="77777777" w:rsidR="003D7FF2" w:rsidRDefault="003D7FF2" w:rsidP="001A1D72">
            <w:r>
              <w:t>Gebiete mit hoher Bevölkerungsdichte, insb. Zentrale Orte im Sinne des § 2 Abs. 2 Nr. 2 ROG</w:t>
            </w:r>
          </w:p>
        </w:tc>
        <w:tc>
          <w:tcPr>
            <w:tcW w:w="4624" w:type="dxa"/>
          </w:tcPr>
          <w:p w14:paraId="5A01BB80" w14:textId="77777777" w:rsidR="003D7FF2" w:rsidRDefault="003D7FF2" w:rsidP="001A1D72">
            <w:r>
              <w:t>nein</w:t>
            </w:r>
          </w:p>
        </w:tc>
      </w:tr>
      <w:tr w:rsidR="003D7FF2" w14:paraId="2875B0A1" w14:textId="77777777" w:rsidTr="001A1D72">
        <w:tc>
          <w:tcPr>
            <w:tcW w:w="831" w:type="dxa"/>
            <w:shd w:val="clear" w:color="auto" w:fill="D9D9D9" w:themeFill="background1" w:themeFillShade="D9"/>
          </w:tcPr>
          <w:p w14:paraId="31909129" w14:textId="77777777" w:rsidR="003D7FF2" w:rsidRPr="00D5550A" w:rsidRDefault="003D7FF2" w:rsidP="001A1D72">
            <w:pPr>
              <w:jc w:val="center"/>
              <w:rPr>
                <w:b/>
              </w:rPr>
            </w:pPr>
            <w:r>
              <w:rPr>
                <w:b/>
              </w:rPr>
              <w:t>2.3.11</w:t>
            </w:r>
          </w:p>
        </w:tc>
        <w:tc>
          <w:tcPr>
            <w:tcW w:w="4463" w:type="dxa"/>
          </w:tcPr>
          <w:p w14:paraId="121DB1CE" w14:textId="77777777" w:rsidR="003D7FF2" w:rsidRDefault="003D7FF2" w:rsidP="001A1D72">
            <w:r>
              <w:t>in amtlichen Listen oder Karten verzeichnete Denkmäler, Denkmalensembles, Bodendenkmäler oder Gebiete, die von der durch die Länder bestimmten Denkmalschutzbehörde als archäologisch bedeutende Landschaften eingestuft worden sind</w:t>
            </w:r>
          </w:p>
        </w:tc>
        <w:tc>
          <w:tcPr>
            <w:tcW w:w="4624" w:type="dxa"/>
          </w:tcPr>
          <w:p w14:paraId="183AF27F" w14:textId="0FC43FB2" w:rsidR="003D7FF2" w:rsidRDefault="003D7FF2" w:rsidP="001A1D72">
            <w:r>
              <w:t>In 2</w:t>
            </w:r>
            <w:r w:rsidR="00C47449">
              <w:t>.</w:t>
            </w:r>
            <w:r>
              <w:t xml:space="preserve">390 m Entfernung befindet sich das Denkmal „Königsmühle auf der </w:t>
            </w:r>
            <w:proofErr w:type="spellStart"/>
            <w:r>
              <w:t>Höchte</w:t>
            </w:r>
            <w:proofErr w:type="spellEnd"/>
            <w:r>
              <w:t>“. Vo</w:t>
            </w:r>
            <w:r w:rsidR="0093116D">
              <w:t>n</w:t>
            </w:r>
            <w:r>
              <w:t xml:space="preserve"> </w:t>
            </w:r>
            <w:r w:rsidR="00C47449">
              <w:t>der WEA</w:t>
            </w:r>
            <w:r>
              <w:t xml:space="preserve"> ist </w:t>
            </w:r>
            <w:r w:rsidR="002F7416">
              <w:t>das Denkmal</w:t>
            </w:r>
            <w:r>
              <w:t xml:space="preserve"> nicht betroffen.</w:t>
            </w:r>
          </w:p>
        </w:tc>
      </w:tr>
    </w:tbl>
    <w:p w14:paraId="4605D6B2" w14:textId="77777777" w:rsidR="003D7FF2" w:rsidRDefault="003D7FF2" w:rsidP="003D7FF2"/>
    <w:p w14:paraId="4D653596" w14:textId="0CB2B0E8" w:rsidR="00332E63" w:rsidRDefault="003D7FF2" w:rsidP="003D7FF2">
      <w:pPr>
        <w:jc w:val="both"/>
      </w:pPr>
      <w:r>
        <w:t xml:space="preserve">Die Prüfung ergibt, dass Schutzkriterien durch das Vorhaben betroffen </w:t>
      </w:r>
      <w:r w:rsidR="00332E63">
        <w:t>sind.</w:t>
      </w:r>
      <w:r w:rsidR="008E605B">
        <w:t xml:space="preserve"> </w:t>
      </w:r>
      <w:r w:rsidR="00332E63">
        <w:t>Somit ist in der zweiten Stufe unter Berücksichtigung der in Anlage 3 aufgeführten Kriterien</w:t>
      </w:r>
      <w:r w:rsidR="008E605B">
        <w:t xml:space="preserve"> zu prüfen</w:t>
      </w:r>
      <w:r w:rsidR="00332E63">
        <w:t>, ob das Vorhaben erheblichen nachteilige Umweltauswirkungen haben kann</w:t>
      </w:r>
      <w:r w:rsidR="008E605B">
        <w:t>, die die besondere Empfindlichkeit oder die Schutzziele des Gebietes betreffen</w:t>
      </w:r>
      <w:r w:rsidR="00332E63">
        <w:t>.</w:t>
      </w:r>
    </w:p>
    <w:p w14:paraId="15F004BB" w14:textId="77777777" w:rsidR="008E605B" w:rsidRDefault="008E605B" w:rsidP="003D7FF2">
      <w:pPr>
        <w:jc w:val="both"/>
      </w:pPr>
    </w:p>
    <w:p w14:paraId="3B7BDD40" w14:textId="6857FE34" w:rsidR="001F5506" w:rsidRPr="003D7FF2" w:rsidRDefault="00613083" w:rsidP="003D7FF2">
      <w:pPr>
        <w:jc w:val="both"/>
        <w:rPr>
          <w:rStyle w:val="Fett"/>
          <w:rFonts w:cs="Arial"/>
          <w:b w:val="0"/>
          <w:bCs w:val="0"/>
        </w:rPr>
      </w:pPr>
      <w:r>
        <w:rPr>
          <w:rStyle w:val="Fett"/>
          <w:rFonts w:cs="Arial"/>
        </w:rPr>
        <w:t xml:space="preserve">3. </w:t>
      </w:r>
      <w:r w:rsidR="001F5506">
        <w:rPr>
          <w:rStyle w:val="Fett"/>
          <w:rFonts w:cs="Arial"/>
        </w:rPr>
        <w:t>Merkmale des Vorhabens</w:t>
      </w:r>
    </w:p>
    <w:p w14:paraId="3CD6EE1D" w14:textId="77777777" w:rsidR="001F5506" w:rsidRDefault="001F5506" w:rsidP="001F5506">
      <w:pPr>
        <w:pStyle w:val="Arbeit"/>
        <w:spacing w:line="240" w:lineRule="auto"/>
        <w:rPr>
          <w:rFonts w:asciiTheme="majorHAnsi" w:eastAsiaTheme="minorHAnsi" w:hAnsiTheme="majorHAnsi" w:cstheme="majorHAnsi"/>
          <w:bCs w:val="0"/>
          <w:sz w:val="28"/>
          <w:szCs w:val="22"/>
          <w:lang w:eastAsia="en-US"/>
        </w:rPr>
      </w:pPr>
    </w:p>
    <w:tbl>
      <w:tblPr>
        <w:tblStyle w:val="Tabellenraster"/>
        <w:tblW w:w="0" w:type="auto"/>
        <w:tblLook w:val="04A0" w:firstRow="1" w:lastRow="0" w:firstColumn="1" w:lastColumn="0" w:noHBand="0" w:noVBand="1"/>
      </w:tblPr>
      <w:tblGrid>
        <w:gridCol w:w="704"/>
        <w:gridCol w:w="4536"/>
        <w:gridCol w:w="4671"/>
      </w:tblGrid>
      <w:tr w:rsidR="00697A00" w14:paraId="7C93549E" w14:textId="77777777" w:rsidTr="00D3317F">
        <w:tc>
          <w:tcPr>
            <w:tcW w:w="704" w:type="dxa"/>
            <w:shd w:val="clear" w:color="auto" w:fill="D9D9D9" w:themeFill="background1" w:themeFillShade="D9"/>
          </w:tcPr>
          <w:p w14:paraId="7EB36D20" w14:textId="77777777" w:rsidR="00697A00" w:rsidRPr="00697A00" w:rsidRDefault="00697A00" w:rsidP="00FA539E">
            <w:pPr>
              <w:rPr>
                <w:b/>
              </w:rPr>
            </w:pPr>
            <w:r w:rsidRPr="00697A00">
              <w:rPr>
                <w:b/>
              </w:rPr>
              <w:t>Nr.</w:t>
            </w:r>
          </w:p>
        </w:tc>
        <w:tc>
          <w:tcPr>
            <w:tcW w:w="4536" w:type="dxa"/>
            <w:shd w:val="clear" w:color="auto" w:fill="D9D9D9" w:themeFill="background1" w:themeFillShade="D9"/>
          </w:tcPr>
          <w:p w14:paraId="446E72D7" w14:textId="77777777" w:rsidR="00697A00" w:rsidRPr="00697A00" w:rsidRDefault="00697A00" w:rsidP="00FA539E">
            <w:pPr>
              <w:rPr>
                <w:b/>
              </w:rPr>
            </w:pPr>
            <w:r w:rsidRPr="00697A00">
              <w:rPr>
                <w:b/>
              </w:rPr>
              <w:t>Beschreibung</w:t>
            </w:r>
          </w:p>
        </w:tc>
        <w:tc>
          <w:tcPr>
            <w:tcW w:w="4671" w:type="dxa"/>
            <w:tcBorders>
              <w:bottom w:val="single" w:sz="4" w:space="0" w:color="auto"/>
            </w:tcBorders>
            <w:shd w:val="clear" w:color="auto" w:fill="D9D9D9" w:themeFill="background1" w:themeFillShade="D9"/>
          </w:tcPr>
          <w:p w14:paraId="5C3872A7" w14:textId="77777777" w:rsidR="00697A00" w:rsidRPr="00697A00" w:rsidRDefault="00697A00" w:rsidP="00FA539E">
            <w:pPr>
              <w:rPr>
                <w:b/>
              </w:rPr>
            </w:pPr>
            <w:r w:rsidRPr="00697A00">
              <w:rPr>
                <w:b/>
              </w:rPr>
              <w:t>Beurteilung</w:t>
            </w:r>
          </w:p>
        </w:tc>
      </w:tr>
      <w:tr w:rsidR="004B6595" w14:paraId="45E66D89" w14:textId="77777777" w:rsidTr="00D3317F">
        <w:tc>
          <w:tcPr>
            <w:tcW w:w="704" w:type="dxa"/>
            <w:shd w:val="clear" w:color="auto" w:fill="D9D9D9" w:themeFill="background1" w:themeFillShade="D9"/>
          </w:tcPr>
          <w:p w14:paraId="3B223D71" w14:textId="77777777" w:rsidR="004B6595" w:rsidRDefault="004B6595" w:rsidP="00697A00">
            <w:pPr>
              <w:jc w:val="center"/>
            </w:pPr>
            <w:r>
              <w:t>1</w:t>
            </w:r>
          </w:p>
        </w:tc>
        <w:tc>
          <w:tcPr>
            <w:tcW w:w="4536" w:type="dxa"/>
            <w:tcBorders>
              <w:right w:val="nil"/>
            </w:tcBorders>
            <w:shd w:val="clear" w:color="auto" w:fill="D9D9D9" w:themeFill="background1" w:themeFillShade="D9"/>
          </w:tcPr>
          <w:p w14:paraId="2B9BDE43" w14:textId="77777777" w:rsidR="004B6595" w:rsidRPr="004B6595" w:rsidRDefault="004B6595" w:rsidP="00FA539E">
            <w:pPr>
              <w:rPr>
                <w:b/>
              </w:rPr>
            </w:pPr>
            <w:r w:rsidRPr="004B6595">
              <w:rPr>
                <w:b/>
              </w:rPr>
              <w:t>Merkmale des Vorhabens</w:t>
            </w:r>
            <w:r>
              <w:rPr>
                <w:b/>
              </w:rPr>
              <w:t>:</w:t>
            </w:r>
          </w:p>
        </w:tc>
        <w:tc>
          <w:tcPr>
            <w:tcW w:w="4671" w:type="dxa"/>
            <w:tcBorders>
              <w:top w:val="single" w:sz="4" w:space="0" w:color="auto"/>
              <w:left w:val="nil"/>
              <w:bottom w:val="single" w:sz="4" w:space="0" w:color="auto"/>
              <w:right w:val="single" w:sz="4" w:space="0" w:color="auto"/>
            </w:tcBorders>
            <w:shd w:val="clear" w:color="auto" w:fill="D9D9D9" w:themeFill="background1" w:themeFillShade="D9"/>
          </w:tcPr>
          <w:p w14:paraId="15AA6B63" w14:textId="77777777" w:rsidR="004B6595" w:rsidRDefault="004B6595" w:rsidP="00FA539E"/>
        </w:tc>
      </w:tr>
      <w:tr w:rsidR="00697A00" w14:paraId="06CE3F0C" w14:textId="77777777" w:rsidTr="00D3317F">
        <w:tc>
          <w:tcPr>
            <w:tcW w:w="704" w:type="dxa"/>
            <w:shd w:val="clear" w:color="auto" w:fill="D9D9D9" w:themeFill="background1" w:themeFillShade="D9"/>
          </w:tcPr>
          <w:p w14:paraId="3404FFEE" w14:textId="77777777" w:rsidR="00697A00" w:rsidRDefault="00697A00" w:rsidP="00697A00">
            <w:pPr>
              <w:jc w:val="center"/>
            </w:pPr>
            <w:r>
              <w:t>1.1</w:t>
            </w:r>
          </w:p>
        </w:tc>
        <w:tc>
          <w:tcPr>
            <w:tcW w:w="4536" w:type="dxa"/>
          </w:tcPr>
          <w:p w14:paraId="3EDB1B29" w14:textId="77777777" w:rsidR="00697A00" w:rsidRDefault="00D3317F" w:rsidP="00FA539E">
            <w:r>
              <w:t>Größe und Ausgestaltung des gesamten Vorhabens und, soweit relevant, der Abrissarbeiten</w:t>
            </w:r>
          </w:p>
        </w:tc>
        <w:tc>
          <w:tcPr>
            <w:tcW w:w="4671" w:type="dxa"/>
            <w:tcBorders>
              <w:top w:val="single" w:sz="4" w:space="0" w:color="auto"/>
            </w:tcBorders>
          </w:tcPr>
          <w:p w14:paraId="76ADDB98" w14:textId="1039B498" w:rsidR="00697A00" w:rsidRDefault="00C606B3" w:rsidP="00B83AE5">
            <w:r>
              <w:t xml:space="preserve">Errichtung u. Betrieb von </w:t>
            </w:r>
            <w:r w:rsidR="00036E15">
              <w:t xml:space="preserve">einer </w:t>
            </w:r>
            <w:r>
              <w:t xml:space="preserve">WEA </w:t>
            </w:r>
            <w:r w:rsidR="00036E15">
              <w:t xml:space="preserve">des Typs Enercon E-138 </w:t>
            </w:r>
            <w:r>
              <w:t xml:space="preserve">mit </w:t>
            </w:r>
            <w:r w:rsidR="00036E15">
              <w:t>4</w:t>
            </w:r>
            <w:r w:rsidR="0011372E">
              <w:t>.</w:t>
            </w:r>
            <w:r w:rsidR="00036E15">
              <w:t xml:space="preserve">260 </w:t>
            </w:r>
            <w:r w:rsidR="00B3241F">
              <w:t>kW, Nabenhöhe</w:t>
            </w:r>
            <w:r>
              <w:t xml:space="preserve"> </w:t>
            </w:r>
            <w:r w:rsidR="00036E15">
              <w:t>160</w:t>
            </w:r>
            <w:r>
              <w:t xml:space="preserve"> m, Rotordurchmesser </w:t>
            </w:r>
            <w:r w:rsidR="00036E15">
              <w:t>138,25</w:t>
            </w:r>
            <w:r>
              <w:t xml:space="preserve"> m </w:t>
            </w:r>
          </w:p>
        </w:tc>
      </w:tr>
      <w:tr w:rsidR="00697A00" w14:paraId="39694B82" w14:textId="77777777" w:rsidTr="00D3317F">
        <w:tc>
          <w:tcPr>
            <w:tcW w:w="704" w:type="dxa"/>
            <w:shd w:val="clear" w:color="auto" w:fill="D9D9D9" w:themeFill="background1" w:themeFillShade="D9"/>
          </w:tcPr>
          <w:p w14:paraId="31556755" w14:textId="77777777" w:rsidR="00697A00" w:rsidRDefault="00697A00" w:rsidP="00697A00">
            <w:pPr>
              <w:jc w:val="center"/>
            </w:pPr>
            <w:r>
              <w:t>1.2</w:t>
            </w:r>
          </w:p>
        </w:tc>
        <w:tc>
          <w:tcPr>
            <w:tcW w:w="4536" w:type="dxa"/>
          </w:tcPr>
          <w:p w14:paraId="3469F5A8" w14:textId="70F46EA6" w:rsidR="00697A00" w:rsidRDefault="00D3317F" w:rsidP="00FA539E">
            <w:r>
              <w:t>Zusammenwirken mit anderen bestehenden oder zugelassenen Vorhaben und Tätigkeite</w:t>
            </w:r>
            <w:r w:rsidR="00CB540B">
              <w:t>n</w:t>
            </w:r>
          </w:p>
        </w:tc>
        <w:tc>
          <w:tcPr>
            <w:tcW w:w="4671" w:type="dxa"/>
          </w:tcPr>
          <w:p w14:paraId="0CF3C31F" w14:textId="645D2266" w:rsidR="00E631BF" w:rsidRPr="00D27296" w:rsidRDefault="005F05AE" w:rsidP="00E631BF">
            <w:pPr>
              <w:rPr>
                <w:color w:val="FF0000"/>
              </w:rPr>
            </w:pPr>
            <w:r>
              <w:t xml:space="preserve">Räumlicher Einwirkungsbereich: </w:t>
            </w:r>
            <w:r w:rsidR="00E631BF">
              <w:t xml:space="preserve"> </w:t>
            </w:r>
            <w:r w:rsidR="0011372E">
              <w:t>Windpark aus drei WEA.</w:t>
            </w:r>
            <w:r w:rsidR="00E631BF">
              <w:t xml:space="preserve"> Die </w:t>
            </w:r>
            <w:r w:rsidR="0011372E">
              <w:t>Bestands</w:t>
            </w:r>
            <w:r w:rsidR="00E631BF">
              <w:t>anlage des Typs Südwind S46 (Nabenhöhe 74 m, Rotordurchmesser 46 m</w:t>
            </w:r>
            <w:r w:rsidR="00DB77D7">
              <w:t>, Gemarkung Frotheim)</w:t>
            </w:r>
            <w:r w:rsidR="00E631BF">
              <w:t xml:space="preserve"> soll vor Baubeginn </w:t>
            </w:r>
            <w:r w:rsidR="00E631BF" w:rsidRPr="00B3241F">
              <w:t>der hier beantragten WEA zurückgebaut werden</w:t>
            </w:r>
            <w:r w:rsidR="0011372E">
              <w:t>.</w:t>
            </w:r>
          </w:p>
          <w:p w14:paraId="2540938D" w14:textId="76051551" w:rsidR="00E631BF" w:rsidRDefault="00397DBA" w:rsidP="00E631BF">
            <w:r>
              <w:t xml:space="preserve">Neben den drei Anlagen, von denen eine durch das </w:t>
            </w:r>
            <w:proofErr w:type="spellStart"/>
            <w:r>
              <w:t>Repowering</w:t>
            </w:r>
            <w:proofErr w:type="spellEnd"/>
            <w:r>
              <w:t xml:space="preserve"> ersetzt werden soll, sind keine weiteren </w:t>
            </w:r>
            <w:r w:rsidR="0093116D">
              <w:t>Bestands-WEA oder im Genehmigungsve</w:t>
            </w:r>
            <w:r w:rsidR="007F44DB">
              <w:t>r</w:t>
            </w:r>
            <w:r w:rsidR="0093116D">
              <w:t>fahren befindlichen WEA-Vorhaben oder sonstige Anlagen</w:t>
            </w:r>
            <w:r>
              <w:t xml:space="preserve"> bekannt. </w:t>
            </w:r>
          </w:p>
        </w:tc>
      </w:tr>
      <w:tr w:rsidR="00697A00" w14:paraId="64B493B1" w14:textId="77777777" w:rsidTr="00D3317F">
        <w:tc>
          <w:tcPr>
            <w:tcW w:w="704" w:type="dxa"/>
            <w:shd w:val="clear" w:color="auto" w:fill="D9D9D9" w:themeFill="background1" w:themeFillShade="D9"/>
          </w:tcPr>
          <w:p w14:paraId="1782986A" w14:textId="77777777" w:rsidR="00697A00" w:rsidRDefault="00697A00" w:rsidP="00697A00">
            <w:pPr>
              <w:jc w:val="center"/>
            </w:pPr>
            <w:r>
              <w:t>1.3</w:t>
            </w:r>
          </w:p>
        </w:tc>
        <w:tc>
          <w:tcPr>
            <w:tcW w:w="4536" w:type="dxa"/>
          </w:tcPr>
          <w:p w14:paraId="081DDA5A" w14:textId="77777777" w:rsidR="00697A00" w:rsidRDefault="00D3317F" w:rsidP="00FA539E">
            <w:r>
              <w:t>Nutzung natürlicher Ressourcen, insbesondere Fläche, Boden, Wasser, Tiere, Pflanzen und biologische Vielfalt</w:t>
            </w:r>
          </w:p>
        </w:tc>
        <w:tc>
          <w:tcPr>
            <w:tcW w:w="4671" w:type="dxa"/>
          </w:tcPr>
          <w:p w14:paraId="1DB00409" w14:textId="22B9760D" w:rsidR="00903225" w:rsidRDefault="00397DBA" w:rsidP="00FA539E">
            <w:r>
              <w:t>Fläche:</w:t>
            </w:r>
            <w:r w:rsidR="0011372E">
              <w:t xml:space="preserve"> Der Anlagenstandort befindet sich auf </w:t>
            </w:r>
            <w:r w:rsidR="007F44DB">
              <w:t xml:space="preserve">intensiv </w:t>
            </w:r>
            <w:r w:rsidR="0011372E">
              <w:t>landwirtschaftlich genutzten Flächen.</w:t>
            </w:r>
            <w:r>
              <w:t xml:space="preserve"> </w:t>
            </w:r>
          </w:p>
          <w:p w14:paraId="1B7B28AB" w14:textId="13140910" w:rsidR="00697A00" w:rsidRDefault="00903225" w:rsidP="00FA539E">
            <w:r>
              <w:lastRenderedPageBreak/>
              <w:t xml:space="preserve">Boden: </w:t>
            </w:r>
            <w:r w:rsidR="00B67313">
              <w:t>Es werden ca.</w:t>
            </w:r>
            <w:r w:rsidR="00E631BF">
              <w:t xml:space="preserve"> 659</w:t>
            </w:r>
            <w:r w:rsidR="00B67313">
              <w:t xml:space="preserve"> m²</w:t>
            </w:r>
            <w:r w:rsidR="0011372E">
              <w:t xml:space="preserve"> Boden</w:t>
            </w:r>
            <w:r w:rsidR="00B67313">
              <w:t xml:space="preserve"> durch das Fundament</w:t>
            </w:r>
            <w:r>
              <w:t>, die Montagefläche und die Zuwegung</w:t>
            </w:r>
            <w:r w:rsidR="00B67313">
              <w:t xml:space="preserve"> </w:t>
            </w:r>
            <w:r w:rsidR="0011372E">
              <w:t xml:space="preserve">dauerhaft </w:t>
            </w:r>
            <w:r w:rsidR="00B67313">
              <w:t>versiegelt</w:t>
            </w:r>
            <w:r w:rsidR="0011372E">
              <w:t xml:space="preserve">, zzgl. Flächen </w:t>
            </w:r>
            <w:r>
              <w:t xml:space="preserve">als Zufahrts-, Bau- und Lagerfläche. </w:t>
            </w:r>
            <w:r w:rsidR="0011372E">
              <w:t xml:space="preserve"> </w:t>
            </w:r>
            <w:r w:rsidR="00E631BF">
              <w:t>4</w:t>
            </w:r>
            <w:r>
              <w:t>.</w:t>
            </w:r>
            <w:r w:rsidR="00E631BF">
              <w:t>299</w:t>
            </w:r>
            <w:r w:rsidR="00B67313">
              <w:t xml:space="preserve"> m² </w:t>
            </w:r>
            <w:r w:rsidR="0011372E">
              <w:t>werde</w:t>
            </w:r>
            <w:r>
              <w:t>n</w:t>
            </w:r>
            <w:r w:rsidR="0011372E">
              <w:t xml:space="preserve"> </w:t>
            </w:r>
            <w:r w:rsidR="00B67313">
              <w:t xml:space="preserve">für </w:t>
            </w:r>
            <w:r w:rsidR="0011372E">
              <w:t xml:space="preserve">die </w:t>
            </w:r>
            <w:r w:rsidR="00B67313">
              <w:t xml:space="preserve">Aufstellfläche </w:t>
            </w:r>
            <w:r w:rsidR="0011372E">
              <w:t xml:space="preserve">temporär </w:t>
            </w:r>
            <w:r w:rsidR="00B67313">
              <w:t>teilversiegelt.</w:t>
            </w:r>
            <w:r w:rsidR="008B5B30">
              <w:t xml:space="preserve"> </w:t>
            </w:r>
            <w:r w:rsidR="003F0E0F">
              <w:t>Bei Rückbau der bestehenden WEA wird eine Teilfläche entsiegelt und kann wieder als Grünland genutzt werden</w:t>
            </w:r>
            <w:r w:rsidR="003F0E0F">
              <w:t xml:space="preserve">. </w:t>
            </w:r>
            <w:r w:rsidR="00226E46">
              <w:t xml:space="preserve">Die </w:t>
            </w:r>
            <w:r w:rsidR="008B5B30">
              <w:t>Ackerfläche wird nach Nutzung wieder hergestellt.</w:t>
            </w:r>
            <w:r w:rsidR="00636D83">
              <w:t xml:space="preserve"> </w:t>
            </w:r>
            <w:r w:rsidR="00226E46">
              <w:t xml:space="preserve">Baubedingt sind weiterhin Umlagerungen des Bodens im </w:t>
            </w:r>
            <w:r>
              <w:t>B</w:t>
            </w:r>
            <w:r w:rsidR="00226E46">
              <w:t xml:space="preserve">ereich des Fundamentes und der Zuwegung zu erwarten. </w:t>
            </w:r>
            <w:r>
              <w:t>Eine fachgerechte Bauausführung vermeidet den Eintrag von Schadstoffen während der Bauphasen. Durch den Betrieb der Anlage findet keine Einleitung von Schadstoffen statt.</w:t>
            </w:r>
            <w:r w:rsidR="00226E46">
              <w:br/>
            </w:r>
            <w:r w:rsidR="00397DBA">
              <w:t xml:space="preserve">Wasser: </w:t>
            </w:r>
            <w:r w:rsidR="00C50ABE">
              <w:t xml:space="preserve"> D</w:t>
            </w:r>
            <w:r w:rsidR="00A926D3">
              <w:t>ie Vollversiegelung des Fundament</w:t>
            </w:r>
            <w:r w:rsidR="00C50ABE">
              <w:t>s führ</w:t>
            </w:r>
            <w:r w:rsidR="0093116D">
              <w:t>t</w:t>
            </w:r>
            <w:r w:rsidR="00C50ABE">
              <w:t xml:space="preserve"> zu einer Verminderung der Grundwasserneubildung, einer Verringerung der Versickerung von Niederschlagswasser und in geringem Maße zu einem Mehrabfluss von Niederschlagswasser.</w:t>
            </w:r>
            <w:r w:rsidR="00A926D3">
              <w:t xml:space="preserve"> Bei den Teilversiegelten Flächen (Zuwegung, Kranstellflächen etc.) kann das Niederschlagswasser noch absickern. </w:t>
            </w:r>
          </w:p>
          <w:p w14:paraId="5BD6ABDD" w14:textId="4C8C4946" w:rsidR="00A926D3" w:rsidRDefault="00A926D3" w:rsidP="00FA539E">
            <w:r>
              <w:t>Es ist ggf. eine kurzfristige Absenkung des Grundwassers bei der Gründung des Fundamentes notwendig (Bauwasserhaltung).</w:t>
            </w:r>
          </w:p>
          <w:p w14:paraId="097EA53F" w14:textId="77777777" w:rsidR="00397DBA" w:rsidRDefault="00CB3C9F" w:rsidP="00FA539E">
            <w:r>
              <w:t xml:space="preserve">Tiere, Pflanzen, biologische Vielfalt: Bau- und anlagebedingt kommt es zu einem Verlust der überplanten Biotoptypen. </w:t>
            </w:r>
            <w:r w:rsidR="00A97E90">
              <w:t xml:space="preserve">Betriebsbedingt kann es zur Tötung und </w:t>
            </w:r>
            <w:proofErr w:type="spellStart"/>
            <w:r w:rsidR="00A97E90">
              <w:t>Scheuchwirkung</w:t>
            </w:r>
            <w:proofErr w:type="spellEnd"/>
            <w:r w:rsidR="00A97E90">
              <w:t xml:space="preserve"> bei bestimmten Fledermaus- und Vogelarten kommen, die eine Veränderung des Artenspektrums im Umfeld der Anlage </w:t>
            </w:r>
            <w:r w:rsidR="00436A15">
              <w:t>z</w:t>
            </w:r>
            <w:r w:rsidR="00A97E90">
              <w:t xml:space="preserve">ur Folge haben kann. </w:t>
            </w:r>
          </w:p>
          <w:p w14:paraId="7C4E58E0" w14:textId="6FB83964" w:rsidR="00436A15" w:rsidRDefault="00436A15" w:rsidP="00FA539E"/>
        </w:tc>
      </w:tr>
      <w:tr w:rsidR="00697A00" w14:paraId="5BDBCDE8" w14:textId="77777777" w:rsidTr="00D3317F">
        <w:tc>
          <w:tcPr>
            <w:tcW w:w="704" w:type="dxa"/>
            <w:shd w:val="clear" w:color="auto" w:fill="D9D9D9" w:themeFill="background1" w:themeFillShade="D9"/>
          </w:tcPr>
          <w:p w14:paraId="7E92D320" w14:textId="77777777" w:rsidR="00697A00" w:rsidRDefault="00697A00" w:rsidP="00697A00">
            <w:pPr>
              <w:jc w:val="center"/>
            </w:pPr>
            <w:r>
              <w:lastRenderedPageBreak/>
              <w:t>1.4</w:t>
            </w:r>
          </w:p>
        </w:tc>
        <w:tc>
          <w:tcPr>
            <w:tcW w:w="4536" w:type="dxa"/>
          </w:tcPr>
          <w:p w14:paraId="61BA6D0E" w14:textId="77777777" w:rsidR="00D8664A" w:rsidRDefault="00D3317F" w:rsidP="00FA539E">
            <w:r>
              <w:t>Erzeugung von Abfällen im Sinne von § 3 Abs. 1 und 8 des Kreislaufwirtschaftsgesetzes</w:t>
            </w:r>
          </w:p>
          <w:p w14:paraId="47F6AACC" w14:textId="77777777" w:rsidR="00697A00" w:rsidRPr="00D8664A" w:rsidRDefault="00697A00" w:rsidP="00D8664A">
            <w:pPr>
              <w:ind w:firstLine="708"/>
            </w:pPr>
          </w:p>
        </w:tc>
        <w:tc>
          <w:tcPr>
            <w:tcW w:w="4671" w:type="dxa"/>
          </w:tcPr>
          <w:p w14:paraId="5D031F7C" w14:textId="04F93C8E" w:rsidR="00697A00" w:rsidRDefault="00E631BF" w:rsidP="00FA539E">
            <w:r>
              <w:t>Mit der Anlage und dem Betrieb der WEA geht keine Erzeugung von Abfällen einher. Die während des Baus anfallenden Abfälle werden fachgerecht entsorgt.</w:t>
            </w:r>
          </w:p>
        </w:tc>
      </w:tr>
      <w:tr w:rsidR="00697A00" w14:paraId="281D8207" w14:textId="77777777" w:rsidTr="00D3317F">
        <w:tc>
          <w:tcPr>
            <w:tcW w:w="704" w:type="dxa"/>
            <w:shd w:val="clear" w:color="auto" w:fill="D9D9D9" w:themeFill="background1" w:themeFillShade="D9"/>
          </w:tcPr>
          <w:p w14:paraId="1A7732C5" w14:textId="77777777" w:rsidR="00697A00" w:rsidRDefault="00697A00" w:rsidP="00697A00">
            <w:pPr>
              <w:jc w:val="center"/>
            </w:pPr>
            <w:r>
              <w:t>1.5</w:t>
            </w:r>
          </w:p>
        </w:tc>
        <w:tc>
          <w:tcPr>
            <w:tcW w:w="4536" w:type="dxa"/>
          </w:tcPr>
          <w:p w14:paraId="69E38236" w14:textId="77777777" w:rsidR="00697A00" w:rsidRDefault="00D3317F" w:rsidP="00FA539E">
            <w:r>
              <w:t>Umweltverschmutzung und Belästigungen</w:t>
            </w:r>
          </w:p>
        </w:tc>
        <w:tc>
          <w:tcPr>
            <w:tcW w:w="4671" w:type="dxa"/>
          </w:tcPr>
          <w:p w14:paraId="7026337D" w14:textId="77777777" w:rsidR="00D160D7" w:rsidRDefault="00D160D7" w:rsidP="00FA539E">
            <w:r>
              <w:t xml:space="preserve">Bei einer fachgerechten Bauausführung ist nicht mit Stoffeinträgen in den Boden oder in Gewässer zu rechnen. </w:t>
            </w:r>
          </w:p>
          <w:p w14:paraId="1476866C" w14:textId="1BD3BF7F" w:rsidR="00D160D7" w:rsidRDefault="00D160D7" w:rsidP="00FA539E">
            <w:r>
              <w:t>Der Einsatz von wassergefährden</w:t>
            </w:r>
            <w:r w:rsidR="0070019D">
              <w:t>d</w:t>
            </w:r>
            <w:r>
              <w:t xml:space="preserve">en Stoffen wird durch die Anlagenkonstruktion auf ein Minimum reduziert. </w:t>
            </w:r>
          </w:p>
          <w:p w14:paraId="25661C84" w14:textId="04B20AFF" w:rsidR="0070019D" w:rsidRDefault="0070019D" w:rsidP="00FA539E">
            <w:r>
              <w:lastRenderedPageBreak/>
              <w:t xml:space="preserve">Baubedingt kann es zu temporären Erhöhungen der Schallemissionen kommen. </w:t>
            </w:r>
          </w:p>
          <w:p w14:paraId="061AB649" w14:textId="2A637034" w:rsidR="0070019D" w:rsidRDefault="0070019D" w:rsidP="00FA539E">
            <w:r>
              <w:t>Betriebsbedingt entstehen dauerhafte Schall- und Schattenimmissionen. Hierfür ist eine Betriebsführung der Anlagen anzunehmen, die eine Einhaltung der Grenzwerte nach der TA-Lärm und der WKA- Schattenwurf-</w:t>
            </w:r>
            <w:r w:rsidR="00513D77">
              <w:t xml:space="preserve">Hinweise der LAI </w:t>
            </w:r>
            <w:r>
              <w:rPr>
                <w:vanish/>
              </w:rPr>
              <w:t xml:space="preserve">Hinweise der </w:t>
            </w:r>
            <w:r>
              <w:t xml:space="preserve">ermöglicht. </w:t>
            </w:r>
            <w:r w:rsidR="00513D77">
              <w:t>Hierfür wurden entsprechende Lärm- und ein Schattenwurfgutachten erstellt.</w:t>
            </w:r>
          </w:p>
          <w:p w14:paraId="59A48DCF" w14:textId="77777777" w:rsidR="00D160D7" w:rsidRDefault="00D160D7" w:rsidP="00FA539E">
            <w:r>
              <w:t xml:space="preserve">Mit einer Erhöhung von Luftschadstoffen (Stäuben, Abgasen) ist nicht zu rechnen und auch die lokalklimatische Situation bleibt unverändert. </w:t>
            </w:r>
          </w:p>
          <w:p w14:paraId="580738DE" w14:textId="2964F568" w:rsidR="00697A00" w:rsidRDefault="00697A00" w:rsidP="00FA539E"/>
        </w:tc>
      </w:tr>
      <w:tr w:rsidR="00D3317F" w14:paraId="24417345" w14:textId="77777777" w:rsidTr="00CF146A">
        <w:tc>
          <w:tcPr>
            <w:tcW w:w="704" w:type="dxa"/>
            <w:shd w:val="clear" w:color="auto" w:fill="D9D9D9" w:themeFill="background1" w:themeFillShade="D9"/>
          </w:tcPr>
          <w:p w14:paraId="0F12172B" w14:textId="77777777" w:rsidR="00D3317F" w:rsidRDefault="00D3317F" w:rsidP="00D3317F">
            <w:pPr>
              <w:jc w:val="center"/>
            </w:pPr>
            <w:r>
              <w:lastRenderedPageBreak/>
              <w:t>1.6</w:t>
            </w:r>
          </w:p>
        </w:tc>
        <w:tc>
          <w:tcPr>
            <w:tcW w:w="9207" w:type="dxa"/>
            <w:gridSpan w:val="2"/>
            <w:shd w:val="clear" w:color="auto" w:fill="D9D9D9" w:themeFill="background1" w:themeFillShade="D9"/>
          </w:tcPr>
          <w:p w14:paraId="440F912E" w14:textId="1710A787" w:rsidR="00D3317F" w:rsidRDefault="00D3317F" w:rsidP="00D3317F">
            <w:pPr>
              <w:jc w:val="both"/>
            </w:pPr>
            <w:r>
              <w:t>Risiken von Störfällen, Unfällen und Katastrophen, die für das Vorhaben von Bedeutung sind, einschließlich der Störfälle, Unfälle und Katastrophen, die wissenschaftlichen Erkenntnissen zufolge durch den Klimawandel bedingt sind, insbesondere mit Blick auf:</w:t>
            </w:r>
          </w:p>
        </w:tc>
      </w:tr>
      <w:tr w:rsidR="00D3317F" w14:paraId="26D97EE5" w14:textId="77777777" w:rsidTr="00D3317F">
        <w:tc>
          <w:tcPr>
            <w:tcW w:w="704" w:type="dxa"/>
            <w:shd w:val="clear" w:color="auto" w:fill="D9D9D9" w:themeFill="background1" w:themeFillShade="D9"/>
          </w:tcPr>
          <w:p w14:paraId="7DEFE492" w14:textId="77777777" w:rsidR="00D3317F" w:rsidRDefault="00D3317F" w:rsidP="00D3317F">
            <w:pPr>
              <w:jc w:val="center"/>
            </w:pPr>
            <w:r>
              <w:t>1.6.1</w:t>
            </w:r>
          </w:p>
        </w:tc>
        <w:tc>
          <w:tcPr>
            <w:tcW w:w="4536" w:type="dxa"/>
          </w:tcPr>
          <w:p w14:paraId="7720B251" w14:textId="772DBDBB" w:rsidR="00D3317F" w:rsidRDefault="00D3317F" w:rsidP="00FA539E">
            <w:r>
              <w:t>verwendete Stoffe und Technologien</w:t>
            </w:r>
          </w:p>
        </w:tc>
        <w:tc>
          <w:tcPr>
            <w:tcW w:w="4671" w:type="dxa"/>
          </w:tcPr>
          <w:p w14:paraId="3C65C23D" w14:textId="3897FD4F" w:rsidR="00D3317F" w:rsidRDefault="0093116D" w:rsidP="00FA539E">
            <w:r>
              <w:t>nein</w:t>
            </w:r>
          </w:p>
        </w:tc>
      </w:tr>
      <w:tr w:rsidR="00D3317F" w14:paraId="38F4B826" w14:textId="77777777" w:rsidTr="00D3317F">
        <w:tc>
          <w:tcPr>
            <w:tcW w:w="704" w:type="dxa"/>
            <w:shd w:val="clear" w:color="auto" w:fill="D9D9D9" w:themeFill="background1" w:themeFillShade="D9"/>
          </w:tcPr>
          <w:p w14:paraId="00E5DDC7" w14:textId="77777777" w:rsidR="00D3317F" w:rsidRDefault="00D3317F" w:rsidP="00D3317F">
            <w:pPr>
              <w:jc w:val="center"/>
            </w:pPr>
            <w:r>
              <w:t>1.6.2</w:t>
            </w:r>
          </w:p>
        </w:tc>
        <w:tc>
          <w:tcPr>
            <w:tcW w:w="4536" w:type="dxa"/>
          </w:tcPr>
          <w:p w14:paraId="0D79D2D1" w14:textId="77777777" w:rsidR="00D3317F" w:rsidRDefault="00D3317F" w:rsidP="00FA539E">
            <w:r>
              <w:t>die Anfälligkeit des Vorhabens für Störfälle im Sinne des § 2 Nr. 7 der Störfall-Verordnung, insbesondere aufgrund seiner Verwirklichung innerhalb des angemessenen Sicherheitsabstandes zu Betriebsbereichen im Sinne des § 3 Abs. 5a BImSchG</w:t>
            </w:r>
          </w:p>
        </w:tc>
        <w:tc>
          <w:tcPr>
            <w:tcW w:w="4671" w:type="dxa"/>
          </w:tcPr>
          <w:p w14:paraId="15996642" w14:textId="0E8CA1CA" w:rsidR="00D3317F" w:rsidRDefault="00D160D7" w:rsidP="00FA539E">
            <w:r>
              <w:t>Im Umfeld des geplanten Anlagenstandortes befinden sich keine Störfallbetriebe</w:t>
            </w:r>
            <w:r w:rsidR="00D51552">
              <w:t>.</w:t>
            </w:r>
          </w:p>
        </w:tc>
      </w:tr>
      <w:tr w:rsidR="00D3317F" w14:paraId="15BFC006" w14:textId="77777777" w:rsidTr="00D3317F">
        <w:tc>
          <w:tcPr>
            <w:tcW w:w="704" w:type="dxa"/>
            <w:shd w:val="clear" w:color="auto" w:fill="D9D9D9" w:themeFill="background1" w:themeFillShade="D9"/>
          </w:tcPr>
          <w:p w14:paraId="1F49548C" w14:textId="77777777" w:rsidR="00D3317F" w:rsidRDefault="0049001C" w:rsidP="00D3317F">
            <w:pPr>
              <w:jc w:val="center"/>
            </w:pPr>
            <w:r>
              <w:t>1.7</w:t>
            </w:r>
          </w:p>
        </w:tc>
        <w:tc>
          <w:tcPr>
            <w:tcW w:w="4536" w:type="dxa"/>
          </w:tcPr>
          <w:p w14:paraId="5B3D4CA2" w14:textId="77777777" w:rsidR="00D3317F" w:rsidRDefault="0049001C" w:rsidP="00FA539E">
            <w:r>
              <w:t>Risiken für die mensch</w:t>
            </w:r>
            <w:r w:rsidR="007F2467">
              <w:t>liche Gesundheit, z.B. durch Verunreinigung von Wasser oder Luft</w:t>
            </w:r>
          </w:p>
        </w:tc>
        <w:tc>
          <w:tcPr>
            <w:tcW w:w="4671" w:type="dxa"/>
          </w:tcPr>
          <w:p w14:paraId="1818380A" w14:textId="77777777" w:rsidR="00D3317F" w:rsidRDefault="00D160D7" w:rsidP="00FA539E">
            <w:r>
              <w:t>Folgende Risiken können entstehen:</w:t>
            </w:r>
          </w:p>
          <w:p w14:paraId="6E5CE39A" w14:textId="4D0A1E8C" w:rsidR="00D160D7" w:rsidRDefault="00D160D7" w:rsidP="00D160D7">
            <w:pPr>
              <w:pStyle w:val="Listenabsatz"/>
              <w:numPr>
                <w:ilvl w:val="0"/>
                <w:numId w:val="6"/>
              </w:numPr>
            </w:pPr>
            <w:r>
              <w:t>Schall- und Schadstoffemissionen (baubedingt)</w:t>
            </w:r>
          </w:p>
          <w:p w14:paraId="0AC0C148" w14:textId="77777777" w:rsidR="00D160D7" w:rsidRDefault="00D160D7" w:rsidP="00D160D7">
            <w:pPr>
              <w:pStyle w:val="Listenabsatz"/>
              <w:numPr>
                <w:ilvl w:val="0"/>
                <w:numId w:val="6"/>
              </w:numPr>
            </w:pPr>
            <w:r>
              <w:t>Verunreinigung des Grundwassers (baubedingt)</w:t>
            </w:r>
          </w:p>
          <w:p w14:paraId="24562CEF" w14:textId="32BDB89B" w:rsidR="00D160D7" w:rsidRDefault="00D160D7" w:rsidP="00D160D7">
            <w:pPr>
              <w:pStyle w:val="Listenabsatz"/>
              <w:numPr>
                <w:ilvl w:val="0"/>
                <w:numId w:val="6"/>
              </w:numPr>
            </w:pPr>
            <w:r>
              <w:t>Schallemissionen (b</w:t>
            </w:r>
            <w:r w:rsidR="007F44DB">
              <w:t>etriebs</w:t>
            </w:r>
            <w:r>
              <w:t>bedingt)</w:t>
            </w:r>
          </w:p>
          <w:p w14:paraId="2F0BF70E" w14:textId="1CFD454F" w:rsidR="00D160D7" w:rsidRDefault="00D160D7" w:rsidP="00D160D7">
            <w:pPr>
              <w:pStyle w:val="Listenabsatz"/>
              <w:numPr>
                <w:ilvl w:val="0"/>
                <w:numId w:val="6"/>
              </w:numPr>
            </w:pPr>
            <w:r>
              <w:t>Schattenwur</w:t>
            </w:r>
            <w:r w:rsidR="00D53ECB">
              <w:t>f</w:t>
            </w:r>
            <w:r>
              <w:t xml:space="preserve"> (anlage- und betriebsbedingt)</w:t>
            </w:r>
          </w:p>
          <w:p w14:paraId="4925246D" w14:textId="77777777" w:rsidR="00D160D7" w:rsidRDefault="00D160D7" w:rsidP="00D160D7">
            <w:pPr>
              <w:pStyle w:val="Listenabsatz"/>
              <w:numPr>
                <w:ilvl w:val="0"/>
                <w:numId w:val="6"/>
              </w:numPr>
            </w:pPr>
            <w:r>
              <w:t>Beeinträchtigung durch Befeuerung (anlage- und betriebsbedingt)</w:t>
            </w:r>
          </w:p>
          <w:p w14:paraId="61D81A0E" w14:textId="553AFC3A" w:rsidR="00D160D7" w:rsidRDefault="00D160D7" w:rsidP="00D160D7">
            <w:pPr>
              <w:pStyle w:val="Listenabsatz"/>
              <w:numPr>
                <w:ilvl w:val="0"/>
                <w:numId w:val="6"/>
              </w:numPr>
            </w:pPr>
            <w:r>
              <w:t>Optisch bedrängende Wirkung (anlage- und betriebsbedingt)</w:t>
            </w:r>
          </w:p>
          <w:p w14:paraId="52EB13B0" w14:textId="77777777" w:rsidR="00C25BD0" w:rsidRDefault="00C25BD0" w:rsidP="00C25BD0">
            <w:pPr>
              <w:pStyle w:val="Listenabsatz"/>
            </w:pPr>
          </w:p>
          <w:p w14:paraId="59B1D185" w14:textId="5F61C70B" w:rsidR="00D160D7" w:rsidRDefault="00D160D7" w:rsidP="00D02EEF"/>
        </w:tc>
      </w:tr>
    </w:tbl>
    <w:p w14:paraId="03D0992E" w14:textId="33F0E2F5" w:rsidR="0093116D" w:rsidRDefault="0093116D" w:rsidP="00E52A3E">
      <w:pPr>
        <w:rPr>
          <w:rFonts w:cs="Arial"/>
          <w:b/>
          <w:bCs/>
        </w:rPr>
      </w:pPr>
    </w:p>
    <w:p w14:paraId="3B3F9F61" w14:textId="77777777" w:rsidR="0093116D" w:rsidRDefault="0093116D">
      <w:pPr>
        <w:spacing w:line="276" w:lineRule="auto"/>
        <w:rPr>
          <w:rFonts w:cs="Arial"/>
          <w:b/>
          <w:bCs/>
        </w:rPr>
      </w:pPr>
      <w:r>
        <w:rPr>
          <w:rFonts w:cs="Arial"/>
          <w:b/>
          <w:bCs/>
        </w:rPr>
        <w:br w:type="page"/>
      </w:r>
    </w:p>
    <w:p w14:paraId="604436A3" w14:textId="77777777" w:rsidR="001F5506" w:rsidRPr="00E52A3E" w:rsidRDefault="001F5506" w:rsidP="00E52A3E">
      <w:pPr>
        <w:rPr>
          <w:rFonts w:cs="Arial"/>
          <w:b/>
          <w:bCs/>
        </w:rPr>
      </w:pPr>
    </w:p>
    <w:tbl>
      <w:tblPr>
        <w:tblStyle w:val="Tabellenraster"/>
        <w:tblW w:w="0" w:type="auto"/>
        <w:tblLook w:val="04A0" w:firstRow="1" w:lastRow="0" w:firstColumn="1" w:lastColumn="0" w:noHBand="0" w:noVBand="1"/>
      </w:tblPr>
      <w:tblGrid>
        <w:gridCol w:w="704"/>
        <w:gridCol w:w="4536"/>
        <w:gridCol w:w="4671"/>
      </w:tblGrid>
      <w:tr w:rsidR="00B67313" w14:paraId="7088C440" w14:textId="77777777" w:rsidTr="00B67313">
        <w:tc>
          <w:tcPr>
            <w:tcW w:w="704" w:type="dxa"/>
            <w:shd w:val="clear" w:color="auto" w:fill="D9D9D9" w:themeFill="background1" w:themeFillShade="D9"/>
          </w:tcPr>
          <w:p w14:paraId="58D24B6D" w14:textId="77777777" w:rsidR="00B67313" w:rsidRPr="00B67313" w:rsidRDefault="00B67313" w:rsidP="00B67313">
            <w:pPr>
              <w:jc w:val="center"/>
              <w:rPr>
                <w:b/>
              </w:rPr>
            </w:pPr>
            <w:r w:rsidRPr="00B67313">
              <w:rPr>
                <w:b/>
              </w:rPr>
              <w:t>2</w:t>
            </w:r>
          </w:p>
        </w:tc>
        <w:tc>
          <w:tcPr>
            <w:tcW w:w="9207" w:type="dxa"/>
            <w:gridSpan w:val="2"/>
            <w:shd w:val="clear" w:color="auto" w:fill="D9D9D9" w:themeFill="background1" w:themeFillShade="D9"/>
          </w:tcPr>
          <w:p w14:paraId="16A472EF" w14:textId="77777777" w:rsidR="00B67313" w:rsidRPr="00B67313" w:rsidRDefault="00B67313" w:rsidP="00FA539E">
            <w:pPr>
              <w:rPr>
                <w:b/>
              </w:rPr>
            </w:pPr>
            <w:r w:rsidRPr="00B67313">
              <w:rPr>
                <w:b/>
              </w:rPr>
              <w:t>Standort der Vorhaben</w:t>
            </w:r>
          </w:p>
          <w:p w14:paraId="3DDA089A" w14:textId="77777777" w:rsidR="00B67313" w:rsidRDefault="00B67313" w:rsidP="00FA539E">
            <w:r>
              <w:t>Die ökologische Empfindlichkeit eines Gebietes, das durch ein Vorhaben möglicherweise beeinträchtigt wird, ist insbesondere hinsichtlich folgender Nutzungs- und Schutzkriterien unter Berücksichtigung des Zusammenwirkens mit anderen Vorhaben in ihrem gemeinsamen Einwirkungsbereich zu beurteilen.</w:t>
            </w:r>
          </w:p>
        </w:tc>
      </w:tr>
      <w:tr w:rsidR="00D27296" w:rsidRPr="00D27296" w14:paraId="74A9DA73" w14:textId="77777777" w:rsidTr="00B67313">
        <w:tc>
          <w:tcPr>
            <w:tcW w:w="704" w:type="dxa"/>
            <w:shd w:val="clear" w:color="auto" w:fill="D9D9D9" w:themeFill="background1" w:themeFillShade="D9"/>
          </w:tcPr>
          <w:p w14:paraId="49DDAFF4" w14:textId="77777777" w:rsidR="00B67313" w:rsidRPr="00B67313" w:rsidRDefault="00B67313" w:rsidP="00B67313">
            <w:pPr>
              <w:jc w:val="center"/>
              <w:rPr>
                <w:b/>
              </w:rPr>
            </w:pPr>
            <w:r w:rsidRPr="00B67313">
              <w:rPr>
                <w:b/>
              </w:rPr>
              <w:t>2.1</w:t>
            </w:r>
          </w:p>
        </w:tc>
        <w:tc>
          <w:tcPr>
            <w:tcW w:w="4536" w:type="dxa"/>
          </w:tcPr>
          <w:p w14:paraId="58B40246" w14:textId="77777777" w:rsidR="00B67313" w:rsidRPr="00244C18" w:rsidRDefault="00B67313" w:rsidP="00FA539E">
            <w:r w:rsidRPr="00244C18">
              <w:t>bestehende Nutzung</w:t>
            </w:r>
            <w:r w:rsidR="003228E1" w:rsidRPr="00244C18">
              <w:t xml:space="preserve"> des Gebietes, insb.</w:t>
            </w:r>
            <w:r w:rsidRPr="00244C18">
              <w:t xml:space="preserve"> als Fläche für Siedlung und Erholung, für land-, forst- und fischereiwirtschaftliche Nutzungen, für sonstige wirtschaftliche und öffentliche Nutzungen, Verkehr, Ver- und Entsorgung (Nutzungskriterien)</w:t>
            </w:r>
          </w:p>
        </w:tc>
        <w:tc>
          <w:tcPr>
            <w:tcW w:w="4671" w:type="dxa"/>
          </w:tcPr>
          <w:p w14:paraId="02DE28D2" w14:textId="41CBA25E" w:rsidR="00B67313" w:rsidRPr="00244C18" w:rsidRDefault="00B67313" w:rsidP="00FA539E">
            <w:r w:rsidRPr="00244C18">
              <w:t>Fläche für die Landwirtschaft: Ackerfläche</w:t>
            </w:r>
            <w:r w:rsidR="009D63C8" w:rsidRPr="00244C18">
              <w:br/>
              <w:t>D</w:t>
            </w:r>
            <w:r w:rsidR="007519C7">
              <w:t xml:space="preserve">as Vorhabengebiet </w:t>
            </w:r>
            <w:r w:rsidR="009D63C8" w:rsidRPr="00244C18">
              <w:t xml:space="preserve">wird im Regionalplan größtenteils als allgemeiner Freiraum- und Agrarbereich (Vorbehaltsgebiet) und </w:t>
            </w:r>
            <w:r w:rsidR="007519C7">
              <w:t xml:space="preserve">dies </w:t>
            </w:r>
            <w:proofErr w:type="spellStart"/>
            <w:r w:rsidR="009D63C8" w:rsidRPr="00244C18">
              <w:t>überlagend</w:t>
            </w:r>
            <w:proofErr w:type="spellEnd"/>
            <w:r w:rsidR="009D63C8" w:rsidRPr="00244C18">
              <w:t xml:space="preserve"> mit der Funktion für den Schutz der Landschaft und landschaftsorientierten Erholung (BSLE) dargestellt. </w:t>
            </w:r>
            <w:r w:rsidR="009D63C8" w:rsidRPr="00244C18">
              <w:br/>
              <w:t>Die geplante Anlage liegt in „Allgemeinen Landschaftsschutzgebiet“ (LSG-3518-001).</w:t>
            </w:r>
          </w:p>
          <w:p w14:paraId="2957BD19" w14:textId="77777777" w:rsidR="009D63C8" w:rsidRPr="00244C18" w:rsidRDefault="009D63C8" w:rsidP="00FA539E"/>
          <w:p w14:paraId="0CC82115" w14:textId="7B697B82" w:rsidR="009D63C8" w:rsidRPr="00244C18" w:rsidRDefault="009D63C8" w:rsidP="00FA539E">
            <w:r w:rsidRPr="00244C18">
              <w:t>Durch das geplante Vorhaben werden zwei Nutzungskriterien</w:t>
            </w:r>
            <w:r w:rsidR="00137A15" w:rsidRPr="00244C18">
              <w:t xml:space="preserve"> (Regionalplan: Landwirtschaftlicher Kernraum, Wohnen) gem. Anlage 3 Nr. 2.1 UVPG beeinträchtigt. </w:t>
            </w:r>
          </w:p>
        </w:tc>
      </w:tr>
      <w:tr w:rsidR="00D27296" w:rsidRPr="00D27296" w14:paraId="0D71C325" w14:textId="77777777" w:rsidTr="00B67313">
        <w:tc>
          <w:tcPr>
            <w:tcW w:w="704" w:type="dxa"/>
            <w:shd w:val="clear" w:color="auto" w:fill="D9D9D9" w:themeFill="background1" w:themeFillShade="D9"/>
          </w:tcPr>
          <w:p w14:paraId="332E53FB" w14:textId="24BE0AD7" w:rsidR="00B67313" w:rsidRPr="00B67313" w:rsidRDefault="001F5506" w:rsidP="00B67313">
            <w:pPr>
              <w:jc w:val="center"/>
              <w:rPr>
                <w:b/>
              </w:rPr>
            </w:pPr>
            <w:r>
              <w:rPr>
                <w:b/>
              </w:rPr>
              <w:t xml:space="preserve">   </w:t>
            </w:r>
            <w:r w:rsidR="00B67313" w:rsidRPr="00B67313">
              <w:rPr>
                <w:b/>
              </w:rPr>
              <w:t>2.2</w:t>
            </w:r>
          </w:p>
        </w:tc>
        <w:tc>
          <w:tcPr>
            <w:tcW w:w="4536" w:type="dxa"/>
          </w:tcPr>
          <w:p w14:paraId="135894BC" w14:textId="77777777" w:rsidR="00B67313" w:rsidRPr="00244C18" w:rsidRDefault="00B67313" w:rsidP="00FA539E">
            <w:r w:rsidRPr="00244C18">
              <w:t>Reichtum, Verfügbarkeit, Qualität und Regenerationsfähigkeit der natü</w:t>
            </w:r>
            <w:r w:rsidR="003228E1" w:rsidRPr="00244C18">
              <w:t>rlichen Ressourcen, insb.</w:t>
            </w:r>
            <w:r w:rsidRPr="00244C18">
              <w:t xml:space="preserve"> Fläche, Boden, Landschaft, Wasser, Tiere, Pflanzen, biologische Vielfalt, des Gebietes und seines Untergrundes (Qualitätskriterien)</w:t>
            </w:r>
          </w:p>
        </w:tc>
        <w:tc>
          <w:tcPr>
            <w:tcW w:w="4671" w:type="dxa"/>
          </w:tcPr>
          <w:p w14:paraId="3751CC0F" w14:textId="77777777" w:rsidR="00B67313" w:rsidRPr="00244C18" w:rsidRDefault="00D5550A" w:rsidP="00FA539E">
            <w:r w:rsidRPr="00244C18">
              <w:t xml:space="preserve">Besondere Bodenfunktionen (z.B. naturnahe Böden, Böden mit besonderen Standortverhältnissen) sind für die WEA-Standorte nicht bekannt. Für diese Flächen erfüllen die Böden landwirtschaftliche Nutzfunktionen sowie allgemeine Funktionen des Naturhaushaltes. </w:t>
            </w:r>
            <w:r w:rsidR="00B67313" w:rsidRPr="00244C18">
              <w:t xml:space="preserve"> </w:t>
            </w:r>
          </w:p>
          <w:p w14:paraId="484EADE3" w14:textId="637D85D7" w:rsidR="00C25BD0" w:rsidRPr="00244C18" w:rsidRDefault="00C25BD0" w:rsidP="00FA539E">
            <w:r w:rsidRPr="00244C18">
              <w:t>Durch das Vorhaben verschlechtert sich die Situation im Plangebiet nicht.</w:t>
            </w:r>
          </w:p>
        </w:tc>
      </w:tr>
    </w:tbl>
    <w:p w14:paraId="60582893" w14:textId="348FDFA3" w:rsidR="001E1078" w:rsidRDefault="001E1078" w:rsidP="00FA539E"/>
    <w:p w14:paraId="67A5FBFE" w14:textId="77777777" w:rsidR="001F5506" w:rsidRDefault="001F5506" w:rsidP="001F5506">
      <w:pPr>
        <w:pStyle w:val="Textkrper2"/>
        <w:rPr>
          <w:rFonts w:cs="Arial"/>
          <w:bCs w:val="0"/>
        </w:rPr>
      </w:pPr>
      <w:r>
        <w:rPr>
          <w:rFonts w:cs="Arial"/>
          <w:bCs w:val="0"/>
        </w:rPr>
        <w:t>3. Merkmale der möglichen Auswirkungen</w:t>
      </w:r>
      <w:r>
        <w:rPr>
          <w:rFonts w:cs="Arial"/>
          <w:bCs w:val="0"/>
        </w:rPr>
        <w:br/>
      </w:r>
    </w:p>
    <w:p w14:paraId="37279CCC" w14:textId="65C13728" w:rsidR="001F5506" w:rsidRDefault="001F5506" w:rsidP="001F5506">
      <w:r>
        <w:rPr>
          <w:rFonts w:ascii="Calibri" w:hAnsi="Calibri" w:cs="Calibri"/>
        </w:rPr>
        <w:t xml:space="preserve">Die möglichen erheblichen Auswirkungen eines Vorhabens sind anhand der unter den Nummern 1 und </w:t>
      </w:r>
      <w:r>
        <w:rPr>
          <w:rStyle w:val="hc1"/>
          <w:rFonts w:cs="Arial"/>
        </w:rPr>
        <w:t>2</w:t>
      </w:r>
      <w:r>
        <w:t xml:space="preserve"> aufgeführten Kriterien zu beurteilen; insbesondere ist folgenden Gesichtspunkten Rechnung zu tragen:</w:t>
      </w:r>
    </w:p>
    <w:tbl>
      <w:tblPr>
        <w:tblStyle w:val="Tabellenraster"/>
        <w:tblW w:w="0" w:type="auto"/>
        <w:tblLook w:val="04A0" w:firstRow="1" w:lastRow="0" w:firstColumn="1" w:lastColumn="0" w:noHBand="0" w:noVBand="1"/>
      </w:tblPr>
      <w:tblGrid>
        <w:gridCol w:w="846"/>
        <w:gridCol w:w="4394"/>
        <w:gridCol w:w="4671"/>
      </w:tblGrid>
      <w:tr w:rsidR="00404DEE" w14:paraId="696E586A" w14:textId="77777777" w:rsidTr="00404DEE">
        <w:tc>
          <w:tcPr>
            <w:tcW w:w="846" w:type="dxa"/>
            <w:shd w:val="clear" w:color="auto" w:fill="D9D9D9" w:themeFill="background1" w:themeFillShade="D9"/>
          </w:tcPr>
          <w:p w14:paraId="02079EB9" w14:textId="77777777" w:rsidR="00404DEE" w:rsidRPr="00404DEE" w:rsidRDefault="00404DEE" w:rsidP="00404DEE">
            <w:pPr>
              <w:jc w:val="center"/>
              <w:rPr>
                <w:b/>
              </w:rPr>
            </w:pPr>
            <w:r w:rsidRPr="00404DEE">
              <w:rPr>
                <w:b/>
              </w:rPr>
              <w:t>3</w:t>
            </w:r>
          </w:p>
        </w:tc>
        <w:tc>
          <w:tcPr>
            <w:tcW w:w="9065" w:type="dxa"/>
            <w:gridSpan w:val="2"/>
            <w:shd w:val="clear" w:color="auto" w:fill="D9D9D9" w:themeFill="background1" w:themeFillShade="D9"/>
          </w:tcPr>
          <w:p w14:paraId="7960CA5D" w14:textId="77777777" w:rsidR="00404DEE" w:rsidRPr="00404DEE" w:rsidRDefault="00404DEE" w:rsidP="00FA539E">
            <w:pPr>
              <w:rPr>
                <w:b/>
              </w:rPr>
            </w:pPr>
            <w:r w:rsidRPr="00404DEE">
              <w:rPr>
                <w:b/>
              </w:rPr>
              <w:t>Art und Merkmale der möglichen Auswirkungen</w:t>
            </w:r>
          </w:p>
          <w:p w14:paraId="1140439B" w14:textId="77777777" w:rsidR="00404DEE" w:rsidRDefault="00404DEE" w:rsidP="00FA539E">
            <w:r>
              <w:t>Die möglichen erheblichen Auswirkungen eines Vorhabens auf die Schutzgüter sind anhand der unter den Nummern 1 und 2 aufgeführten Kriterien zu beurteilen; dabei ist insb. folgenden Gesichtspunkten Rechnung zu tragen:</w:t>
            </w:r>
          </w:p>
        </w:tc>
      </w:tr>
      <w:tr w:rsidR="003C2BE3" w14:paraId="2F43C079" w14:textId="77777777" w:rsidTr="003C2BE3">
        <w:tc>
          <w:tcPr>
            <w:tcW w:w="846" w:type="dxa"/>
            <w:shd w:val="clear" w:color="auto" w:fill="D9D9D9" w:themeFill="background1" w:themeFillShade="D9"/>
          </w:tcPr>
          <w:p w14:paraId="4942C2CF" w14:textId="77777777" w:rsidR="003C2BE3" w:rsidRPr="003C2BE3" w:rsidRDefault="003C2BE3" w:rsidP="003C2BE3">
            <w:pPr>
              <w:jc w:val="center"/>
              <w:rPr>
                <w:b/>
              </w:rPr>
            </w:pPr>
            <w:r w:rsidRPr="003C2BE3">
              <w:rPr>
                <w:b/>
              </w:rPr>
              <w:t>3.1</w:t>
            </w:r>
          </w:p>
        </w:tc>
        <w:tc>
          <w:tcPr>
            <w:tcW w:w="4394" w:type="dxa"/>
          </w:tcPr>
          <w:p w14:paraId="2138530C" w14:textId="16F2E763" w:rsidR="003C2BE3" w:rsidRDefault="003C2BE3" w:rsidP="00FA539E">
            <w:r>
              <w:t>die Art und dem Ausmaß der Auswirkungen, insbesondere, welches geographische Gebiet betroffen ist und wie viele Personen von den Auswirkungen voraussichtlich betroffen sind</w:t>
            </w:r>
          </w:p>
        </w:tc>
        <w:tc>
          <w:tcPr>
            <w:tcW w:w="4671" w:type="dxa"/>
          </w:tcPr>
          <w:p w14:paraId="5E6A5F66" w14:textId="7B16E744" w:rsidR="009E10D0" w:rsidRDefault="009E10D0" w:rsidP="008D77F3">
            <w:r>
              <w:t>E</w:t>
            </w:r>
            <w:r w:rsidR="007519C7">
              <w:t>rhebliche Auswirkungen auf das Schutzgut Landschaft bzw. Landschaftsbild</w:t>
            </w:r>
            <w:r>
              <w:t xml:space="preserve"> sind nicht auszuschließen. Eine grobe Verunstaltung eines ästhetisch wertvollen und einzigartigen Landschaftsbildes ist auszuschließen.</w:t>
            </w:r>
          </w:p>
          <w:p w14:paraId="3A71D9E0" w14:textId="6CB7518A" w:rsidR="003C2BE3" w:rsidRDefault="009E10D0" w:rsidP="008D77F3">
            <w:r>
              <w:lastRenderedPageBreak/>
              <w:t>Auswirkungen sind insbesondere auf das Teilschutzgut Tier zu erwarten. Durch</w:t>
            </w:r>
            <w:r w:rsidR="008D77F3">
              <w:t xml:space="preserve"> eine Brut- und Rastvogelkartierung </w:t>
            </w:r>
            <w:r>
              <w:t>wurde 2019 wurden</w:t>
            </w:r>
            <w:r w:rsidR="008D77F3">
              <w:t xml:space="preserve"> 6 WEA-empfindliche </w:t>
            </w:r>
            <w:r w:rsidR="007519C7">
              <w:t>V</w:t>
            </w:r>
            <w:r w:rsidR="008D77F3">
              <w:t xml:space="preserve">ogelarten festgestellt. </w:t>
            </w:r>
            <w:r>
              <w:t>Es wurde jedoch n</w:t>
            </w:r>
            <w:r w:rsidR="008D77F3">
              <w:t>ur für den Weißstorch ein Konfliktrisiko festgestellt. Auf Grund eines Nistplatzes nahe des 1</w:t>
            </w:r>
            <w:r>
              <w:t>0</w:t>
            </w:r>
            <w:r w:rsidR="008D77F3">
              <w:t>00 m – Radius wurde eine Raumnutzungsanalyse durchgeführt</w:t>
            </w:r>
            <w:r>
              <w:t>, wonach d</w:t>
            </w:r>
            <w:r w:rsidR="008D77F3">
              <w:t>er Weißstorch das nahe Umfeld der WEA als Nahrungshabitat</w:t>
            </w:r>
            <w:r>
              <w:t xml:space="preserve"> nutzt</w:t>
            </w:r>
            <w:r w:rsidR="008D77F3">
              <w:t>.</w:t>
            </w:r>
            <w:r w:rsidR="004F5909">
              <w:t xml:space="preserve"> Eine Kartierung aus dem Jahr 2020 belegt, dass kein erhöhtes Tötungsrisiko für Weißstörche beim bestehenden Windpark und der geplanten WEA beste</w:t>
            </w:r>
            <w:r>
              <w:t>h</w:t>
            </w:r>
            <w:r w:rsidR="004F5909">
              <w:t>t. Des Weiteren verfügt die neu</w:t>
            </w:r>
            <w:r>
              <w:t>e</w:t>
            </w:r>
            <w:r w:rsidR="004F5909">
              <w:t xml:space="preserve"> WEA gegenüber der rückzubauenden WEA </w:t>
            </w:r>
            <w:proofErr w:type="gramStart"/>
            <w:r w:rsidR="004F5909">
              <w:t>über ein erhöhtes Freibord</w:t>
            </w:r>
            <w:proofErr w:type="gramEnd"/>
            <w:r w:rsidR="004F5909">
              <w:t xml:space="preserve"> und rückt durch die Verschiebung nach Osten in einen durch den Weißstorch geringer frequentierten Bereich. Dadurch wird das potentielle Tötungsrisiko von 17,3 % auf 0,7 % gesenkt.</w:t>
            </w:r>
          </w:p>
          <w:p w14:paraId="721D7957" w14:textId="77777777" w:rsidR="008D77F3" w:rsidRDefault="008D77F3" w:rsidP="008D77F3"/>
          <w:p w14:paraId="4696C4B5" w14:textId="77777777" w:rsidR="008D77F3" w:rsidRDefault="008D77F3" w:rsidP="008D77F3">
            <w:r>
              <w:t xml:space="preserve">Es wurden im Jahr 2015 5 WEA-empfindliche Fledermäuse festgestellt. </w:t>
            </w:r>
          </w:p>
          <w:p w14:paraId="27D81FA5" w14:textId="77777777" w:rsidR="008D77F3" w:rsidRDefault="008D77F3" w:rsidP="008D77F3"/>
          <w:p w14:paraId="08D6B0A8" w14:textId="745D96AB" w:rsidR="008D77F3" w:rsidRDefault="008D77F3" w:rsidP="008D77F3">
            <w:r>
              <w:t xml:space="preserve">Als Auswirkungen auf den Menschen ist mit Schall- und Schattenemissionen zu rechnen. </w:t>
            </w:r>
            <w:r w:rsidR="009E10D0">
              <w:t>Von einer</w:t>
            </w:r>
            <w:r>
              <w:t xml:space="preserve"> optisch </w:t>
            </w:r>
            <w:r w:rsidR="009E10D0">
              <w:t>b</w:t>
            </w:r>
            <w:r>
              <w:t>edrängende</w:t>
            </w:r>
            <w:r w:rsidR="009E10D0">
              <w:t>n</w:t>
            </w:r>
            <w:r>
              <w:t xml:space="preserve"> Wi</w:t>
            </w:r>
            <w:r w:rsidR="00B92204">
              <w:t>rk</w:t>
            </w:r>
            <w:r>
              <w:t xml:space="preserve">ung </w:t>
            </w:r>
            <w:r w:rsidR="009E10D0">
              <w:t>ist</w:t>
            </w:r>
            <w:r>
              <w:t xml:space="preserve"> auf</w:t>
            </w:r>
            <w:r w:rsidR="009E10D0">
              <w:t>g</w:t>
            </w:r>
            <w:r>
              <w:t xml:space="preserve">rund des Abstandes zum nächsten Wohnhaus nicht auszugehen. </w:t>
            </w:r>
          </w:p>
        </w:tc>
      </w:tr>
      <w:tr w:rsidR="003C2BE3" w14:paraId="7661CE03" w14:textId="77777777" w:rsidTr="003C2BE3">
        <w:tc>
          <w:tcPr>
            <w:tcW w:w="846" w:type="dxa"/>
            <w:shd w:val="clear" w:color="auto" w:fill="D9D9D9" w:themeFill="background1" w:themeFillShade="D9"/>
          </w:tcPr>
          <w:p w14:paraId="553BB893" w14:textId="77777777" w:rsidR="003C2BE3" w:rsidRPr="003C2BE3" w:rsidRDefault="003C2BE3" w:rsidP="003C2BE3">
            <w:pPr>
              <w:jc w:val="center"/>
              <w:rPr>
                <w:b/>
              </w:rPr>
            </w:pPr>
            <w:r w:rsidRPr="003C2BE3">
              <w:rPr>
                <w:b/>
              </w:rPr>
              <w:lastRenderedPageBreak/>
              <w:t>3.2</w:t>
            </w:r>
          </w:p>
        </w:tc>
        <w:tc>
          <w:tcPr>
            <w:tcW w:w="4394" w:type="dxa"/>
          </w:tcPr>
          <w:p w14:paraId="6F24B857" w14:textId="77777777" w:rsidR="003C2BE3" w:rsidRPr="00D259D8" w:rsidRDefault="003C2BE3" w:rsidP="00FA539E">
            <w:r w:rsidRPr="00D259D8">
              <w:t>dem etwaigen grenzüberschreitenden Charakter der Auswirkungen</w:t>
            </w:r>
          </w:p>
        </w:tc>
        <w:tc>
          <w:tcPr>
            <w:tcW w:w="4671" w:type="dxa"/>
          </w:tcPr>
          <w:p w14:paraId="6EC0D2BF" w14:textId="03DC4A17" w:rsidR="003C2BE3" w:rsidRDefault="00EC262E" w:rsidP="00FA539E">
            <w:r>
              <w:t>Keine.</w:t>
            </w:r>
          </w:p>
        </w:tc>
      </w:tr>
      <w:tr w:rsidR="003C2BE3" w14:paraId="3BFCE647" w14:textId="77777777" w:rsidTr="003C2BE3">
        <w:tc>
          <w:tcPr>
            <w:tcW w:w="846" w:type="dxa"/>
            <w:shd w:val="clear" w:color="auto" w:fill="D9D9D9" w:themeFill="background1" w:themeFillShade="D9"/>
          </w:tcPr>
          <w:p w14:paraId="21294732" w14:textId="77777777" w:rsidR="003C2BE3" w:rsidRPr="003C2BE3" w:rsidRDefault="003C2BE3" w:rsidP="003C2BE3">
            <w:pPr>
              <w:jc w:val="center"/>
              <w:rPr>
                <w:b/>
              </w:rPr>
            </w:pPr>
            <w:bookmarkStart w:id="0" w:name="_Hlk193290029"/>
            <w:r w:rsidRPr="003C2BE3">
              <w:rPr>
                <w:b/>
              </w:rPr>
              <w:t>3.3</w:t>
            </w:r>
          </w:p>
        </w:tc>
        <w:tc>
          <w:tcPr>
            <w:tcW w:w="4394" w:type="dxa"/>
          </w:tcPr>
          <w:p w14:paraId="479D179D" w14:textId="77777777" w:rsidR="003C2BE3" w:rsidRDefault="003C2BE3" w:rsidP="00FA539E">
            <w:r>
              <w:t>der Schwere und der Komplexität der Auswirkungen</w:t>
            </w:r>
          </w:p>
        </w:tc>
        <w:tc>
          <w:tcPr>
            <w:tcW w:w="4671" w:type="dxa"/>
          </w:tcPr>
          <w:p w14:paraId="44CE25C0" w14:textId="5477085F" w:rsidR="00D92A4D" w:rsidRPr="008675CA" w:rsidRDefault="009E10D0" w:rsidP="000E32B5">
            <w:r>
              <w:t>s. Punkt 3.1</w:t>
            </w:r>
          </w:p>
          <w:p w14:paraId="56118313" w14:textId="7AC2416E" w:rsidR="00D92A4D" w:rsidRPr="008675CA" w:rsidRDefault="00D92A4D" w:rsidP="000E32B5"/>
          <w:p w14:paraId="022E5ED3" w14:textId="51EDEDCD" w:rsidR="000E32B5" w:rsidRDefault="00D92A4D" w:rsidP="000E32B5">
            <w:pPr>
              <w:tabs>
                <w:tab w:val="left" w:pos="426"/>
                <w:tab w:val="left" w:pos="709"/>
              </w:tabs>
            </w:pPr>
            <w:r w:rsidRPr="008675CA">
              <w:t>Es besteht ein erhöhtes Tötungsrisiko in Bezug auf fünf vorkommende WEA-Empfindliche Fledermausarten.</w:t>
            </w:r>
            <w:r w:rsidR="004F5909">
              <w:rPr>
                <w:rFonts w:cs="Arial"/>
              </w:rPr>
              <w:t xml:space="preserve"> </w:t>
            </w:r>
          </w:p>
          <w:p w14:paraId="689252C7" w14:textId="77777777" w:rsidR="00D92A4D" w:rsidRPr="008675CA" w:rsidRDefault="00D92A4D" w:rsidP="000E32B5"/>
          <w:p w14:paraId="709FC2B1" w14:textId="643BE8A4" w:rsidR="003C2BE3" w:rsidRPr="003B3750" w:rsidRDefault="008D77F3" w:rsidP="000E32B5">
            <w:r w:rsidRPr="008675CA">
              <w:t xml:space="preserve">Lärmbelästigung und Beeinträchtigungen durch Schattenwurf </w:t>
            </w:r>
            <w:r w:rsidR="006F4844">
              <w:t xml:space="preserve">werden durch entsprechende Gutachten untersucht und belegt. </w:t>
            </w:r>
          </w:p>
        </w:tc>
      </w:tr>
      <w:bookmarkEnd w:id="0"/>
      <w:tr w:rsidR="003C2BE3" w14:paraId="411B7C12" w14:textId="77777777" w:rsidTr="003C2BE3">
        <w:tc>
          <w:tcPr>
            <w:tcW w:w="846" w:type="dxa"/>
            <w:shd w:val="clear" w:color="auto" w:fill="D9D9D9" w:themeFill="background1" w:themeFillShade="D9"/>
          </w:tcPr>
          <w:p w14:paraId="701B13DF" w14:textId="77777777" w:rsidR="003C2BE3" w:rsidRPr="003C2BE3" w:rsidRDefault="003C2BE3" w:rsidP="003C2BE3">
            <w:pPr>
              <w:jc w:val="center"/>
              <w:rPr>
                <w:b/>
              </w:rPr>
            </w:pPr>
            <w:r w:rsidRPr="003C2BE3">
              <w:rPr>
                <w:b/>
              </w:rPr>
              <w:t>3.4</w:t>
            </w:r>
          </w:p>
        </w:tc>
        <w:tc>
          <w:tcPr>
            <w:tcW w:w="4394" w:type="dxa"/>
          </w:tcPr>
          <w:p w14:paraId="59D6494C" w14:textId="77777777" w:rsidR="003C2BE3" w:rsidRDefault="003C2BE3" w:rsidP="00FA539E">
            <w:r>
              <w:t xml:space="preserve">der Wahrscheinlichkeit von Auswirkungen </w:t>
            </w:r>
          </w:p>
        </w:tc>
        <w:tc>
          <w:tcPr>
            <w:tcW w:w="4671" w:type="dxa"/>
          </w:tcPr>
          <w:p w14:paraId="4B96AE2B" w14:textId="33ED4190" w:rsidR="00D92A4D" w:rsidRDefault="00D92A4D" w:rsidP="00FA539E">
            <w:r>
              <w:t xml:space="preserve">Beeinträchtigung auf das Teilschutzgut Tier sind mit einer hohen Wahrscheinlichkeit des Eintretens von Auswirkungen </w:t>
            </w:r>
            <w:r w:rsidR="006C125F">
              <w:t xml:space="preserve">als hoch </w:t>
            </w:r>
            <w:r>
              <w:t>zu bewerten.</w:t>
            </w:r>
            <w:r w:rsidR="006C125F">
              <w:t xml:space="preserve"> </w:t>
            </w:r>
          </w:p>
          <w:p w14:paraId="1E0CC0AE" w14:textId="77777777" w:rsidR="00D92A4D" w:rsidRDefault="00D92A4D" w:rsidP="00FA539E"/>
          <w:p w14:paraId="0CC6C90C" w14:textId="67535DEA" w:rsidR="003C2BE3" w:rsidRDefault="003C2BE3" w:rsidP="00FA539E">
            <w:r w:rsidRPr="003C2BE3">
              <w:t xml:space="preserve">Beeinträchtigungen durch </w:t>
            </w:r>
            <w:r w:rsidR="006F4844">
              <w:t>Schall</w:t>
            </w:r>
            <w:r w:rsidRPr="003C2BE3">
              <w:t xml:space="preserve"> und </w:t>
            </w:r>
            <w:proofErr w:type="spellStart"/>
            <w:r w:rsidRPr="003C2BE3">
              <w:t>Schat-tenwurf</w:t>
            </w:r>
            <w:proofErr w:type="spellEnd"/>
            <w:r w:rsidRPr="003C2BE3">
              <w:t xml:space="preserve"> </w:t>
            </w:r>
            <w:r w:rsidR="006F4844">
              <w:t>sind betriebsbedingt zu erwarten.</w:t>
            </w:r>
          </w:p>
        </w:tc>
      </w:tr>
      <w:tr w:rsidR="003C2BE3" w14:paraId="687B6D3C" w14:textId="77777777" w:rsidTr="003C2BE3">
        <w:tc>
          <w:tcPr>
            <w:tcW w:w="846" w:type="dxa"/>
            <w:shd w:val="clear" w:color="auto" w:fill="D9D9D9" w:themeFill="background1" w:themeFillShade="D9"/>
          </w:tcPr>
          <w:p w14:paraId="5673868B" w14:textId="77777777" w:rsidR="003C2BE3" w:rsidRPr="003C2BE3" w:rsidRDefault="003C2BE3" w:rsidP="003C2BE3">
            <w:pPr>
              <w:jc w:val="center"/>
              <w:rPr>
                <w:b/>
              </w:rPr>
            </w:pPr>
            <w:bookmarkStart w:id="1" w:name="_Hlk193290244"/>
            <w:r w:rsidRPr="003C2BE3">
              <w:rPr>
                <w:b/>
              </w:rPr>
              <w:lastRenderedPageBreak/>
              <w:t>3.5</w:t>
            </w:r>
          </w:p>
        </w:tc>
        <w:tc>
          <w:tcPr>
            <w:tcW w:w="4394" w:type="dxa"/>
          </w:tcPr>
          <w:p w14:paraId="28FD71B1" w14:textId="77777777" w:rsidR="003C2BE3" w:rsidRDefault="003C2BE3" w:rsidP="00FA539E">
            <w:r>
              <w:t>dem voraussichtlichen Zeitpunkt des Eintretens sowie der Dauer, Häufigkeit und Umkehrbarkeit der Auswirkungen</w:t>
            </w:r>
          </w:p>
        </w:tc>
        <w:tc>
          <w:tcPr>
            <w:tcW w:w="4671" w:type="dxa"/>
          </w:tcPr>
          <w:p w14:paraId="1DFF5C0F" w14:textId="1EBE3AF8" w:rsidR="003C2BE3" w:rsidRPr="008C1AAA" w:rsidRDefault="00F46ABB" w:rsidP="00FA539E">
            <w:r w:rsidRPr="008C1AAA">
              <w:t>Eine W</w:t>
            </w:r>
            <w:r w:rsidR="006C125F" w:rsidRPr="008C1AAA">
              <w:t>EA</w:t>
            </w:r>
            <w:r w:rsidRPr="008C1AAA">
              <w:t xml:space="preserve"> hat eine Lebenszeit von etwa 15-20 Jahren. Im Anschluss ist es möglich</w:t>
            </w:r>
            <w:r w:rsidR="007D3575">
              <w:t xml:space="preserve">, </w:t>
            </w:r>
            <w:r w:rsidRPr="008C1AAA">
              <w:t xml:space="preserve">die Anlagen entweder durch erneutes </w:t>
            </w:r>
            <w:proofErr w:type="spellStart"/>
            <w:r w:rsidRPr="008C1AAA">
              <w:t>Repowering</w:t>
            </w:r>
            <w:proofErr w:type="spellEnd"/>
            <w:r w:rsidRPr="008C1AAA">
              <w:t xml:space="preserve"> zu erneuern oder vollständig zurückzubauen. Der Rückbau ist in einer Art und Weise möglich, bei der negative Eingriffe und Auswirkungen, die durch die WEA verursacht werden, wieder vollständig rückgängig gemacht werden. </w:t>
            </w:r>
            <w:r w:rsidR="0093116D">
              <w:t>Der</w:t>
            </w:r>
            <w:r w:rsidRPr="008C1AAA">
              <w:t xml:space="preserve"> Anlagenbetreiber </w:t>
            </w:r>
            <w:r w:rsidR="0093116D">
              <w:t xml:space="preserve">ist </w:t>
            </w:r>
            <w:r w:rsidRPr="008C1AAA">
              <w:t xml:space="preserve">zum Rückbau verpflichtet. </w:t>
            </w:r>
          </w:p>
        </w:tc>
      </w:tr>
      <w:bookmarkEnd w:id="1"/>
      <w:tr w:rsidR="003C2BE3" w14:paraId="0E5ED8AB" w14:textId="77777777" w:rsidTr="003C2BE3">
        <w:tc>
          <w:tcPr>
            <w:tcW w:w="846" w:type="dxa"/>
            <w:shd w:val="clear" w:color="auto" w:fill="D9D9D9" w:themeFill="background1" w:themeFillShade="D9"/>
          </w:tcPr>
          <w:p w14:paraId="621A8311" w14:textId="77777777" w:rsidR="003C2BE3" w:rsidRPr="003C2BE3" w:rsidRDefault="003C2BE3" w:rsidP="003C2BE3">
            <w:pPr>
              <w:jc w:val="center"/>
              <w:rPr>
                <w:b/>
              </w:rPr>
            </w:pPr>
            <w:r w:rsidRPr="003C2BE3">
              <w:rPr>
                <w:b/>
              </w:rPr>
              <w:t>3.6</w:t>
            </w:r>
          </w:p>
        </w:tc>
        <w:tc>
          <w:tcPr>
            <w:tcW w:w="4394" w:type="dxa"/>
          </w:tcPr>
          <w:p w14:paraId="2E230F13" w14:textId="77777777" w:rsidR="003C2BE3" w:rsidRDefault="003C2BE3" w:rsidP="00FA539E">
            <w:r>
              <w:t>dem Zusammenwirken der Auswirkungen mit den Auswirkungen anderer bestehender oder zugelassener Vorhaben</w:t>
            </w:r>
          </w:p>
        </w:tc>
        <w:tc>
          <w:tcPr>
            <w:tcW w:w="4671" w:type="dxa"/>
          </w:tcPr>
          <w:p w14:paraId="120614F6" w14:textId="4E5F4F26" w:rsidR="003C2BE3" w:rsidRDefault="00F46ABB" w:rsidP="00FA539E">
            <w:r>
              <w:t xml:space="preserve">Die kumulierende Wirkung mit den drei bestehenden WEA ändert sich durch den Ersatz einer der Anlagen nicht. </w:t>
            </w:r>
            <w:r w:rsidR="008B1797">
              <w:t xml:space="preserve"> </w:t>
            </w:r>
          </w:p>
        </w:tc>
      </w:tr>
      <w:tr w:rsidR="003C2BE3" w14:paraId="1C6DE2DD" w14:textId="77777777" w:rsidTr="003C2BE3">
        <w:tc>
          <w:tcPr>
            <w:tcW w:w="846" w:type="dxa"/>
            <w:shd w:val="clear" w:color="auto" w:fill="D9D9D9" w:themeFill="background1" w:themeFillShade="D9"/>
          </w:tcPr>
          <w:p w14:paraId="67AACD8B" w14:textId="77777777" w:rsidR="003C2BE3" w:rsidRPr="003C2BE3" w:rsidRDefault="003C2BE3" w:rsidP="003C2BE3">
            <w:pPr>
              <w:jc w:val="center"/>
              <w:rPr>
                <w:b/>
              </w:rPr>
            </w:pPr>
            <w:r w:rsidRPr="003C2BE3">
              <w:rPr>
                <w:b/>
              </w:rPr>
              <w:t>3.7</w:t>
            </w:r>
          </w:p>
        </w:tc>
        <w:tc>
          <w:tcPr>
            <w:tcW w:w="4394" w:type="dxa"/>
          </w:tcPr>
          <w:p w14:paraId="1E9C3AE5" w14:textId="77777777" w:rsidR="003C2BE3" w:rsidRDefault="003C2BE3" w:rsidP="00FA539E">
            <w:r>
              <w:t>der Möglichkeit, die Auswirkungen wirksam zu vermindern</w:t>
            </w:r>
          </w:p>
        </w:tc>
        <w:tc>
          <w:tcPr>
            <w:tcW w:w="4671" w:type="dxa"/>
          </w:tcPr>
          <w:p w14:paraId="6BBC28FA" w14:textId="77777777" w:rsidR="003C2BE3" w:rsidRDefault="008B1797" w:rsidP="00FA539E">
            <w:r>
              <w:t xml:space="preserve">Maßnahmen um artenschutzrechtliche Konflikte zu vermeiden: </w:t>
            </w:r>
          </w:p>
          <w:p w14:paraId="33C28D1A" w14:textId="5E14A34B" w:rsidR="008B1797" w:rsidRDefault="008B1797" w:rsidP="008B1797">
            <w:pPr>
              <w:pStyle w:val="Listenabsatz"/>
              <w:numPr>
                <w:ilvl w:val="0"/>
                <w:numId w:val="3"/>
              </w:numPr>
            </w:pPr>
            <w:r>
              <w:t>Abschaltungen bei landwirtschaftlichen Bewirtungsereignissen</w:t>
            </w:r>
            <w:r w:rsidR="00393EAE">
              <w:t xml:space="preserve"> </w:t>
            </w:r>
          </w:p>
          <w:p w14:paraId="691C6166" w14:textId="77777777" w:rsidR="008B1797" w:rsidRDefault="008B1797" w:rsidP="008B1797">
            <w:pPr>
              <w:pStyle w:val="Listenabsatz"/>
              <w:numPr>
                <w:ilvl w:val="0"/>
                <w:numId w:val="3"/>
              </w:numPr>
            </w:pPr>
            <w:r>
              <w:t>Fledermausfreundliche Abschaltlogarithmen</w:t>
            </w:r>
          </w:p>
          <w:p w14:paraId="1807052B" w14:textId="10A2EBCD" w:rsidR="008B1797" w:rsidRDefault="008B1797" w:rsidP="008B1797">
            <w:pPr>
              <w:pStyle w:val="Listenabsatz"/>
              <w:numPr>
                <w:ilvl w:val="0"/>
                <w:numId w:val="3"/>
              </w:numPr>
            </w:pPr>
            <w:r>
              <w:t>Senkung der Attraktivität von Habit</w:t>
            </w:r>
            <w:r w:rsidR="00393EAE">
              <w:t>a</w:t>
            </w:r>
            <w:r>
              <w:t xml:space="preserve">ten im Mastbereich </w:t>
            </w:r>
          </w:p>
          <w:p w14:paraId="2C173B13" w14:textId="77777777" w:rsidR="008B1797" w:rsidRDefault="008B1797" w:rsidP="008B1797">
            <w:pPr>
              <w:pStyle w:val="Listenabsatz"/>
            </w:pPr>
          </w:p>
          <w:p w14:paraId="40F3E3CB" w14:textId="77777777" w:rsidR="008B1797" w:rsidRDefault="008B1797" w:rsidP="008B1797">
            <w:r>
              <w:t>Maßnahmen für die Konfliktvermeidung mit dem Menschen:</w:t>
            </w:r>
          </w:p>
          <w:p w14:paraId="1D1B796B" w14:textId="10769D13" w:rsidR="008B1797" w:rsidRDefault="008B1797" w:rsidP="008B1797">
            <w:pPr>
              <w:pStyle w:val="Listenabsatz"/>
              <w:numPr>
                <w:ilvl w:val="0"/>
                <w:numId w:val="3"/>
              </w:numPr>
            </w:pPr>
            <w:r>
              <w:t xml:space="preserve">Bei Bedarf ein </w:t>
            </w:r>
            <w:r w:rsidR="00A7290E">
              <w:t>s</w:t>
            </w:r>
            <w:r>
              <w:t>challreduzierte</w:t>
            </w:r>
            <w:r w:rsidR="00A7290E">
              <w:t>r</w:t>
            </w:r>
            <w:r>
              <w:t xml:space="preserve"> Betrieb</w:t>
            </w:r>
            <w:r w:rsidR="002859B2">
              <w:t xml:space="preserve"> oder zeitweise vollständige Abschaltung </w:t>
            </w:r>
          </w:p>
          <w:p w14:paraId="1493BDF5" w14:textId="77777777" w:rsidR="008B1797" w:rsidRDefault="008B1797" w:rsidP="008B1797">
            <w:pPr>
              <w:pStyle w:val="Listenabsatz"/>
              <w:numPr>
                <w:ilvl w:val="0"/>
                <w:numId w:val="3"/>
              </w:numPr>
            </w:pPr>
            <w:r>
              <w:t xml:space="preserve">Schattenbedingte Abschaltungen </w:t>
            </w:r>
          </w:p>
          <w:p w14:paraId="3E8C2362" w14:textId="77777777" w:rsidR="007D3575" w:rsidRDefault="007D3575" w:rsidP="007D3575">
            <w:pPr>
              <w:pStyle w:val="Listenabsatz"/>
              <w:ind w:left="0"/>
            </w:pPr>
          </w:p>
          <w:p w14:paraId="483726BA" w14:textId="77777777" w:rsidR="007D3575" w:rsidRDefault="007D3575" w:rsidP="007D3575">
            <w:pPr>
              <w:pStyle w:val="Listenabsatz"/>
              <w:ind w:left="0"/>
            </w:pPr>
            <w:r>
              <w:t xml:space="preserve">Maßnahmen um die Beeinträchtigung des Landschaftsbildes zu kompensieren: </w:t>
            </w:r>
          </w:p>
          <w:p w14:paraId="33CDE8C0" w14:textId="77777777" w:rsidR="007D3575" w:rsidRDefault="007D3575" w:rsidP="007D3575">
            <w:pPr>
              <w:pStyle w:val="Listenabsatz"/>
              <w:numPr>
                <w:ilvl w:val="0"/>
                <w:numId w:val="7"/>
              </w:numPr>
            </w:pPr>
            <w:r>
              <w:t>Festsetzung eines Ersatzgeldes</w:t>
            </w:r>
          </w:p>
          <w:p w14:paraId="6A8C1E28" w14:textId="0BB82E1E" w:rsidR="007D3575" w:rsidRDefault="007D3575" w:rsidP="007D3575">
            <w:pPr>
              <w:pStyle w:val="Listenabsatz"/>
            </w:pPr>
            <w:r>
              <w:t xml:space="preserve"> </w:t>
            </w:r>
          </w:p>
        </w:tc>
      </w:tr>
    </w:tbl>
    <w:p w14:paraId="3EA4F534" w14:textId="77777777" w:rsidR="00404DEE" w:rsidRDefault="00404DEE" w:rsidP="00FA539E"/>
    <w:p w14:paraId="595F9937" w14:textId="188FB8FE" w:rsidR="007B663E" w:rsidRDefault="002859B2" w:rsidP="00FA539E">
      <w:pPr>
        <w:rPr>
          <w:u w:val="single"/>
        </w:rPr>
      </w:pPr>
      <w:r>
        <w:rPr>
          <w:u w:val="single"/>
        </w:rPr>
        <w:t>Fazit</w:t>
      </w:r>
      <w:r w:rsidR="007B663E">
        <w:rPr>
          <w:u w:val="single"/>
        </w:rPr>
        <w:t>:</w:t>
      </w:r>
    </w:p>
    <w:tbl>
      <w:tblPr>
        <w:tblStyle w:val="Tabellenraster"/>
        <w:tblW w:w="0" w:type="auto"/>
        <w:tblLook w:val="04A0" w:firstRow="1" w:lastRow="0" w:firstColumn="1" w:lastColumn="0" w:noHBand="0" w:noVBand="1"/>
      </w:tblPr>
      <w:tblGrid>
        <w:gridCol w:w="9911"/>
      </w:tblGrid>
      <w:tr w:rsidR="007B663E" w14:paraId="04DE3E65" w14:textId="77777777" w:rsidTr="007B663E">
        <w:tc>
          <w:tcPr>
            <w:tcW w:w="9911" w:type="dxa"/>
          </w:tcPr>
          <w:p w14:paraId="0144A73D" w14:textId="2E20151C" w:rsidR="002859B2" w:rsidRDefault="002859B2" w:rsidP="00D259D8">
            <w:pPr>
              <w:jc w:val="both"/>
            </w:pPr>
            <w:r>
              <w:t xml:space="preserve">Durch das Vorhaben wird eine intensiv genutzte Ackerfläche in Anspruch genommen. Durch das Fundament wird der </w:t>
            </w:r>
            <w:r w:rsidR="003F0E0F">
              <w:t xml:space="preserve">davon beanspruchte </w:t>
            </w:r>
            <w:r>
              <w:t>Boden vollständig und dauerhaft versiegelt.</w:t>
            </w:r>
            <w:r w:rsidR="003F0E0F">
              <w:t xml:space="preserve"> Die Kranstellfläche und Zuwegungen werden teilweise versiegelt. Bei Rückbau der bestehenden WEA wird eine Teilfläche entsiegelt und kann wieder als Grünland genutzt werden. </w:t>
            </w:r>
          </w:p>
          <w:p w14:paraId="1FD6A359" w14:textId="70EF2990" w:rsidR="003F0E0F" w:rsidRDefault="003F0E0F" w:rsidP="00D259D8">
            <w:pPr>
              <w:jc w:val="both"/>
            </w:pPr>
            <w:r>
              <w:t>Die entstehenden Beeinträchtigungen der Schutzgüter Boden, Wasser, Klima und Luft sowie Pflanzen und biologische Vielfalt sind durch umfassend geprüfte und angemessene Maßnahmen vermeidbar</w:t>
            </w:r>
            <w:r w:rsidR="007D3575">
              <w:t xml:space="preserve"> oder kompensierbar</w:t>
            </w:r>
            <w:r>
              <w:t xml:space="preserve">. </w:t>
            </w:r>
          </w:p>
          <w:p w14:paraId="06574CB1" w14:textId="7A53BDF7" w:rsidR="003F0E0F" w:rsidRDefault="003F0E0F" w:rsidP="00D259D8">
            <w:pPr>
              <w:jc w:val="both"/>
            </w:pPr>
            <w:r>
              <w:t>Die Beeinträchtigungen des Schutzgutes Mensch durch Schall und Schatten sind</w:t>
            </w:r>
            <w:r w:rsidR="007D3575">
              <w:t xml:space="preserve"> durch Gutachten</w:t>
            </w:r>
            <w:r>
              <w:t xml:space="preserve"> umfassend ermittelt worden. Durch geeignete Maßnahmen (Abschaltvorgaben, Vorgaben zur schallreduzierten Betriebsweise) können hier erhebliche Auswirkungen vermieden werden.  </w:t>
            </w:r>
          </w:p>
          <w:p w14:paraId="79AB957A" w14:textId="77777777" w:rsidR="007D3575" w:rsidRDefault="007D3575" w:rsidP="00D259D8">
            <w:pPr>
              <w:jc w:val="both"/>
            </w:pPr>
          </w:p>
          <w:p w14:paraId="1FA05BF2" w14:textId="4CC5A06F" w:rsidR="003F0E0F" w:rsidRDefault="003F0E0F" w:rsidP="00D259D8">
            <w:pPr>
              <w:jc w:val="both"/>
            </w:pPr>
            <w:r>
              <w:lastRenderedPageBreak/>
              <w:t xml:space="preserve">Im Hinblick auf das Schutzgut Tier, hier insbesondere die Avifauna, konnte durch entsprechende Gutachten eine potentielle Betroffenheit ausgeschlossen werden. Die Betroffenheit des Weißstorchs kann durch Vermeidungsmaßnahmen (unattraktive Mastfußgestaltung, Abschaltung bei Ernte und bodenwendenden Tätigkeiten) vermindert werden. </w:t>
            </w:r>
          </w:p>
          <w:p w14:paraId="54A894AB" w14:textId="19722060" w:rsidR="00E22958" w:rsidRDefault="00E22958" w:rsidP="00D259D8">
            <w:pPr>
              <w:jc w:val="both"/>
            </w:pPr>
            <w:r>
              <w:t>Durch fledermausfreundliche Abschaltungs-Vorgaben lassen sich Beeinträchtigungen der Fledermausfauna effektiv vermeiden.</w:t>
            </w:r>
            <w:r w:rsidR="004F5450">
              <w:rPr>
                <w:rFonts w:cs="Arial"/>
              </w:rPr>
              <w:t xml:space="preserve"> Hierdurch wird</w:t>
            </w:r>
            <w:r w:rsidR="004F5450">
              <w:rPr>
                <w:rFonts w:cs="Arial"/>
              </w:rPr>
              <w:t xml:space="preserve"> das </w:t>
            </w:r>
            <w:r w:rsidR="004F5450" w:rsidRPr="006B5C0D">
              <w:rPr>
                <w:rFonts w:cs="Arial"/>
              </w:rPr>
              <w:t xml:space="preserve">Kollisionsrisiko </w:t>
            </w:r>
            <w:r w:rsidR="004F5450">
              <w:rPr>
                <w:rFonts w:cs="Arial"/>
              </w:rPr>
              <w:t xml:space="preserve">auf ein Maß </w:t>
            </w:r>
            <w:r w:rsidR="004F5450">
              <w:rPr>
                <w:rFonts w:cs="Arial"/>
              </w:rPr>
              <w:t>ge</w:t>
            </w:r>
            <w:r w:rsidR="004F5450">
              <w:rPr>
                <w:rFonts w:cs="Arial"/>
              </w:rPr>
              <w:t>senkt, bei dem zur</w:t>
            </w:r>
            <w:r w:rsidR="004F5450" w:rsidRPr="006B5C0D">
              <w:rPr>
                <w:rFonts w:cs="Arial"/>
              </w:rPr>
              <w:t xml:space="preserve"> Vermeidung des artenschutzrechtlichen Verbotstatbestandes </w:t>
            </w:r>
            <w:r w:rsidR="004F5450">
              <w:rPr>
                <w:rFonts w:cs="Arial"/>
              </w:rPr>
              <w:t>der Tötung und Verletzung nach §</w:t>
            </w:r>
            <w:r w:rsidR="002D7F94">
              <w:rPr>
                <w:rFonts w:cs="Arial"/>
              </w:rPr>
              <w:t xml:space="preserve"> </w:t>
            </w:r>
            <w:r w:rsidR="004F5450">
              <w:rPr>
                <w:rFonts w:cs="Arial"/>
              </w:rPr>
              <w:t>44 Abs. 1, Nr. 1 BNatSchG keine signifikant erhöhte Mortalität zu erwarten ist.</w:t>
            </w:r>
          </w:p>
          <w:p w14:paraId="5FD273AA" w14:textId="12588DF7" w:rsidR="002859B2" w:rsidRDefault="00E22958" w:rsidP="00D259D8">
            <w:pPr>
              <w:jc w:val="both"/>
            </w:pPr>
            <w:r>
              <w:t xml:space="preserve">Die Beeinträchtigung des Landschaftsbildes ist durch Festsetzung eines Ersatzgeldes zu kompensieren. </w:t>
            </w:r>
          </w:p>
          <w:p w14:paraId="6A4B03AF" w14:textId="77777777" w:rsidR="00E22958" w:rsidRDefault="00E22958" w:rsidP="00D259D8">
            <w:pPr>
              <w:jc w:val="both"/>
            </w:pPr>
          </w:p>
          <w:p w14:paraId="2266151D" w14:textId="4CB902D1" w:rsidR="00E22958" w:rsidRDefault="00E22958" w:rsidP="00E22958">
            <w:pPr>
              <w:jc w:val="both"/>
            </w:pPr>
            <w:r>
              <w:t xml:space="preserve">Es ist somit festzustellen, dass erhebliche Beeinträchtigungen durch </w:t>
            </w:r>
            <w:r w:rsidR="007B663E">
              <w:t>geeign</w:t>
            </w:r>
            <w:r w:rsidR="00B5332B">
              <w:t>e</w:t>
            </w:r>
            <w:r w:rsidR="000C6DED">
              <w:t>te Ausgleichs-</w:t>
            </w:r>
            <w:r w:rsidR="00D9366E">
              <w:t xml:space="preserve">, Minderungs- </w:t>
            </w:r>
            <w:r w:rsidR="007B663E">
              <w:t>und Vermeidungsmaßnahmen</w:t>
            </w:r>
            <w:r>
              <w:t xml:space="preserve"> vermieden oder kompensiert werden können. </w:t>
            </w:r>
            <w:r w:rsidR="007B663E">
              <w:t xml:space="preserve"> </w:t>
            </w:r>
          </w:p>
          <w:p w14:paraId="18FD6796" w14:textId="77777777" w:rsidR="00E22958" w:rsidRDefault="00E22958" w:rsidP="00E22958">
            <w:pPr>
              <w:jc w:val="both"/>
              <w:rPr>
                <w:rFonts w:cs="Arial"/>
              </w:rPr>
            </w:pPr>
          </w:p>
          <w:p w14:paraId="7F071ABA" w14:textId="45E8EF4D" w:rsidR="003B3750" w:rsidRDefault="00E22958" w:rsidP="00E22958">
            <w:pPr>
              <w:jc w:val="both"/>
              <w:rPr>
                <w:rFonts w:cs="Arial"/>
              </w:rPr>
            </w:pPr>
            <w:r>
              <w:rPr>
                <w:rFonts w:cs="Arial"/>
              </w:rPr>
              <w:t>Die D</w:t>
            </w:r>
            <w:r w:rsidR="003B3750">
              <w:rPr>
                <w:rFonts w:cs="Arial"/>
              </w:rPr>
              <w:t xml:space="preserve">urchführung einer Umweltverträglichkeitsprüfung </w:t>
            </w:r>
            <w:r>
              <w:rPr>
                <w:rFonts w:cs="Arial"/>
              </w:rPr>
              <w:t>ist nicht erforderlich.</w:t>
            </w:r>
            <w:r>
              <w:rPr>
                <w:rFonts w:cs="Arial"/>
              </w:rPr>
              <w:br/>
            </w:r>
            <w:r w:rsidR="003B3750">
              <w:rPr>
                <w:rFonts w:cs="Arial"/>
              </w:rPr>
              <w:t>Nach § 5 Abs. 2 UVPG ist die Feststellung der Öffentlichkeit bekannt zu geben.</w:t>
            </w:r>
          </w:p>
          <w:p w14:paraId="7CDEA7F4" w14:textId="4E993BD1" w:rsidR="007B663E" w:rsidRPr="007B663E" w:rsidRDefault="007B663E" w:rsidP="00D259D8">
            <w:pPr>
              <w:jc w:val="both"/>
            </w:pPr>
          </w:p>
        </w:tc>
      </w:tr>
    </w:tbl>
    <w:p w14:paraId="5D0C5AD1" w14:textId="77777777" w:rsidR="007B663E" w:rsidRDefault="007B663E" w:rsidP="00FA539E">
      <w:pPr>
        <w:rPr>
          <w:u w:val="single"/>
        </w:rPr>
      </w:pPr>
    </w:p>
    <w:p w14:paraId="5EB6379A" w14:textId="44E7C620" w:rsidR="002D6427" w:rsidRDefault="002D6427" w:rsidP="00FA539E"/>
    <w:p w14:paraId="0AA889CD" w14:textId="1BF6D3FB" w:rsidR="00E22958" w:rsidRDefault="00E22958" w:rsidP="00FA539E">
      <w:r>
        <w:t xml:space="preserve">Im Auftrag: </w:t>
      </w:r>
    </w:p>
    <w:p w14:paraId="672F097D" w14:textId="1584C0D4" w:rsidR="00E22958" w:rsidRDefault="00E22958" w:rsidP="00FA539E"/>
    <w:p w14:paraId="20E63C3D" w14:textId="097DCF0E" w:rsidR="00E22958" w:rsidRPr="002D6427" w:rsidRDefault="00E22958" w:rsidP="00FA539E">
      <w:r>
        <w:t xml:space="preserve">(Gerdsmeier) </w:t>
      </w:r>
    </w:p>
    <w:sectPr w:rsidR="00E22958" w:rsidRPr="002D6427" w:rsidSect="003C420E">
      <w:headerReference w:type="default" r:id="rId7"/>
      <w:footerReference w:type="default" r:id="rId8"/>
      <w:footerReference w:type="first" r:id="rId9"/>
      <w:pgSz w:w="11906" w:h="16838" w:code="9"/>
      <w:pgMar w:top="1134" w:right="567" w:bottom="1701" w:left="1418" w:header="652" w:footer="1021"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5FC40" w14:textId="77777777" w:rsidR="006476B3" w:rsidRDefault="006476B3" w:rsidP="003C420E">
      <w:pPr>
        <w:spacing w:after="0"/>
      </w:pPr>
      <w:r>
        <w:separator/>
      </w:r>
    </w:p>
  </w:endnote>
  <w:endnote w:type="continuationSeparator" w:id="0">
    <w:p w14:paraId="766B0EE8" w14:textId="77777777" w:rsidR="006476B3" w:rsidRDefault="006476B3" w:rsidP="003C4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Bri">
    <w:altName w:val="Calibri"/>
    <w:charset w:val="00"/>
    <w:family w:val="auto"/>
    <w:pitch w:val="variable"/>
    <w:sig w:usb0="00000001" w:usb1="000060E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1C28" w14:textId="4CE663DD" w:rsidR="003C420E" w:rsidRDefault="003C420E">
    <w:pPr>
      <w:pStyle w:val="Fuzeile"/>
    </w:pPr>
    <w:r>
      <w:tab/>
    </w:r>
    <w:r>
      <w:rPr>
        <w:sz w:val="16"/>
      </w:rPr>
      <w:tab/>
    </w:r>
    <w:r>
      <w:fldChar w:fldCharType="begin"/>
    </w:r>
    <w:r>
      <w:instrText xml:space="preserve">IF </w:instrText>
    </w:r>
    <w:r>
      <w:fldChar w:fldCharType="begin"/>
    </w:r>
    <w:r>
      <w:instrText xml:space="preserve"> PAGE </w:instrText>
    </w:r>
    <w:r>
      <w:fldChar w:fldCharType="separate"/>
    </w:r>
    <w:r w:rsidR="002D7F94">
      <w:rPr>
        <w:noProof/>
      </w:rPr>
      <w:instrText>9</w:instrText>
    </w:r>
    <w:r>
      <w:fldChar w:fldCharType="end"/>
    </w:r>
    <w:r>
      <w:instrText>=</w:instrText>
    </w:r>
    <w:r w:rsidR="002D7F94">
      <w:fldChar w:fldCharType="begin"/>
    </w:r>
    <w:r w:rsidR="002D7F94">
      <w:instrText xml:space="preserve"> NUMPAGES </w:instrText>
    </w:r>
    <w:r w:rsidR="002D7F94">
      <w:fldChar w:fldCharType="separate"/>
    </w:r>
    <w:r w:rsidR="002D7F94">
      <w:rPr>
        <w:noProof/>
      </w:rPr>
      <w:instrText>9</w:instrText>
    </w:r>
    <w:r w:rsidR="002D7F94">
      <w:rPr>
        <w:noProof/>
      </w:rPr>
      <w:fldChar w:fldCharType="end"/>
    </w:r>
    <w:r>
      <w:instrText xml:space="preserve"> "" "- </w:instrText>
    </w:r>
    <w:r>
      <w:fldChar w:fldCharType="begin"/>
    </w:r>
    <w:r>
      <w:instrText xml:space="preserve"> =</w:instrText>
    </w:r>
    <w:r>
      <w:fldChar w:fldCharType="begin"/>
    </w:r>
    <w:r>
      <w:instrText>PAGE</w:instrText>
    </w:r>
    <w:r>
      <w:fldChar w:fldCharType="separate"/>
    </w:r>
    <w:r w:rsidR="002D7F94">
      <w:rPr>
        <w:noProof/>
      </w:rPr>
      <w:instrText>8</w:instrText>
    </w:r>
    <w:r>
      <w:fldChar w:fldCharType="end"/>
    </w:r>
    <w:r>
      <w:instrText xml:space="preserve"> +1 </w:instrText>
    </w:r>
    <w:r>
      <w:fldChar w:fldCharType="separate"/>
    </w:r>
    <w:r w:rsidR="002D7F94">
      <w:rPr>
        <w:noProof/>
      </w:rPr>
      <w:instrText>9</w:instrText>
    </w:r>
    <w:r>
      <w:fldChar w:fldCharType="end"/>
    </w:r>
    <w:r>
      <w:instrText xml:space="preserv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E16" w14:textId="3EFE1DAD" w:rsidR="00BB12CA" w:rsidRDefault="00BB12CA" w:rsidP="00D8664A">
    <w:pPr>
      <w:pStyle w:val="Fuzeile"/>
      <w:tabs>
        <w:tab w:val="clear" w:pos="9072"/>
        <w:tab w:val="left" w:pos="6075"/>
        <w:tab w:val="right" w:pos="9214"/>
      </w:tabs>
    </w:pPr>
    <w:r w:rsidRPr="003C420E">
      <w:rPr>
        <w:sz w:val="18"/>
        <w:szCs w:val="18"/>
      </w:rPr>
      <w:t>Doc-Nr.:</w:t>
    </w:r>
    <w:r>
      <w:t xml:space="preserve"> </w:t>
    </w:r>
    <w:r w:rsidRPr="00DC23A9">
      <w:rPr>
        <w:sz w:val="18"/>
        <w:szCs w:val="18"/>
      </w:rPr>
      <w:fldChar w:fldCharType="begin"/>
    </w:r>
    <w:r>
      <w:rPr>
        <w:sz w:val="18"/>
        <w:szCs w:val="18"/>
      </w:rPr>
      <w:instrText xml:space="preserve"> FILENAME</w:instrText>
    </w:r>
    <w:r w:rsidRPr="00DC23A9">
      <w:rPr>
        <w:sz w:val="18"/>
        <w:szCs w:val="18"/>
      </w:rPr>
      <w:instrText xml:space="preserve"> </w:instrText>
    </w:r>
    <w:r w:rsidRPr="00DC23A9">
      <w:rPr>
        <w:sz w:val="18"/>
        <w:szCs w:val="18"/>
      </w:rPr>
      <w:fldChar w:fldCharType="separate"/>
    </w:r>
    <w:r w:rsidR="0012029B">
      <w:rPr>
        <w:noProof/>
        <w:sz w:val="18"/>
        <w:szCs w:val="18"/>
      </w:rPr>
      <w:t>2021-03-29_Vo</w:t>
    </w:r>
    <w:r w:rsidR="00D8664A">
      <w:rPr>
        <w:noProof/>
        <w:sz w:val="18"/>
        <w:szCs w:val="18"/>
      </w:rPr>
      <w:t>rprüfung zur Umweltverträglichkeitsprüfung.docx</w:t>
    </w:r>
    <w:r w:rsidRPr="00DC23A9">
      <w:rPr>
        <w:sz w:val="18"/>
        <w:szCs w:val="18"/>
      </w:rPr>
      <w:fldChar w:fldCharType="end"/>
    </w:r>
    <w:r>
      <w:tab/>
    </w:r>
    <w:r>
      <w:rPr>
        <w:sz w:val="16"/>
      </w:rPr>
      <w:tab/>
    </w:r>
    <w:r w:rsidR="00D8664A">
      <w:rPr>
        <w:sz w:val="16"/>
      </w:rPr>
      <w:tab/>
    </w:r>
    <w:r>
      <w:fldChar w:fldCharType="begin"/>
    </w:r>
    <w:r>
      <w:instrText xml:space="preserve">IF </w:instrText>
    </w:r>
    <w:r>
      <w:fldChar w:fldCharType="begin"/>
    </w:r>
    <w:r>
      <w:instrText xml:space="preserve"> PAGE </w:instrText>
    </w:r>
    <w:r>
      <w:fldChar w:fldCharType="separate"/>
    </w:r>
    <w:r w:rsidR="007F44DB">
      <w:rPr>
        <w:noProof/>
      </w:rPr>
      <w:instrText>1</w:instrText>
    </w:r>
    <w:r>
      <w:fldChar w:fldCharType="end"/>
    </w:r>
    <w:r>
      <w:instrText>=</w:instrText>
    </w:r>
    <w:r w:rsidR="002D7F94">
      <w:fldChar w:fldCharType="begin"/>
    </w:r>
    <w:r w:rsidR="002D7F94">
      <w:instrText xml:space="preserve"> NUMPAGES </w:instrText>
    </w:r>
    <w:r w:rsidR="002D7F94">
      <w:fldChar w:fldCharType="separate"/>
    </w:r>
    <w:r w:rsidR="007F44DB">
      <w:rPr>
        <w:noProof/>
      </w:rPr>
      <w:instrText>9</w:instrText>
    </w:r>
    <w:r w:rsidR="002D7F94">
      <w:rPr>
        <w:noProof/>
      </w:rPr>
      <w:fldChar w:fldCharType="end"/>
    </w:r>
    <w:r>
      <w:instrText xml:space="preserve"> "" "- </w:instrText>
    </w:r>
    <w:r>
      <w:fldChar w:fldCharType="begin"/>
    </w:r>
    <w:r>
      <w:instrText xml:space="preserve"> =</w:instrText>
    </w:r>
    <w:r>
      <w:fldChar w:fldCharType="begin"/>
    </w:r>
    <w:r>
      <w:instrText>PAGE</w:instrText>
    </w:r>
    <w:r>
      <w:fldChar w:fldCharType="separate"/>
    </w:r>
    <w:r w:rsidR="007F44DB">
      <w:rPr>
        <w:noProof/>
      </w:rPr>
      <w:instrText>1</w:instrText>
    </w:r>
    <w:r>
      <w:fldChar w:fldCharType="end"/>
    </w:r>
    <w:r>
      <w:instrText xml:space="preserve"> +1 </w:instrText>
    </w:r>
    <w:r>
      <w:fldChar w:fldCharType="separate"/>
    </w:r>
    <w:r w:rsidR="007F44DB">
      <w:rPr>
        <w:noProof/>
      </w:rPr>
      <w:instrText>2</w:instrText>
    </w:r>
    <w:r>
      <w:fldChar w:fldCharType="end"/>
    </w:r>
    <w:r>
      <w:instrText xml:space="preserve"> -"</w:instrText>
    </w:r>
    <w:r>
      <w:fldChar w:fldCharType="separate"/>
    </w:r>
    <w:r w:rsidR="007F44DB">
      <w:rPr>
        <w:noProof/>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D548" w14:textId="77777777" w:rsidR="006476B3" w:rsidRDefault="006476B3" w:rsidP="003C420E">
      <w:pPr>
        <w:spacing w:after="0"/>
      </w:pPr>
      <w:r>
        <w:separator/>
      </w:r>
    </w:p>
  </w:footnote>
  <w:footnote w:type="continuationSeparator" w:id="0">
    <w:p w14:paraId="5ECE03F4" w14:textId="77777777" w:rsidR="006476B3" w:rsidRDefault="006476B3" w:rsidP="003C4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D8BF" w14:textId="77777777" w:rsidR="003C420E" w:rsidRDefault="00942F5F">
    <w:pPr>
      <w:pStyle w:val="Kopfzeile"/>
    </w:pPr>
    <w:r>
      <w:tab/>
    </w:r>
    <w:r>
      <w:fldChar w:fldCharType="begin"/>
    </w:r>
    <w:r>
      <w:instrText xml:space="preserve"> PAGE  \* ArabicDash  \* MERGEFORMAT </w:instrText>
    </w:r>
    <w:r>
      <w:fldChar w:fldCharType="separate"/>
    </w:r>
    <w:r w:rsidR="002D6427">
      <w:rPr>
        <w:noProof/>
      </w:rPr>
      <w:t>- 4 -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49F"/>
    <w:multiLevelType w:val="hybridMultilevel"/>
    <w:tmpl w:val="F2A2C944"/>
    <w:lvl w:ilvl="0" w:tplc="2E70EF3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FE6E86"/>
    <w:multiLevelType w:val="hybridMultilevel"/>
    <w:tmpl w:val="49AE2D32"/>
    <w:lvl w:ilvl="0" w:tplc="DB284764">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864572"/>
    <w:multiLevelType w:val="hybridMultilevel"/>
    <w:tmpl w:val="3F96B91C"/>
    <w:lvl w:ilvl="0" w:tplc="D6D443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605AFA"/>
    <w:multiLevelType w:val="hybridMultilevel"/>
    <w:tmpl w:val="9E22FE38"/>
    <w:lvl w:ilvl="0" w:tplc="E4DC53B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9F7EC1"/>
    <w:multiLevelType w:val="hybridMultilevel"/>
    <w:tmpl w:val="25D850B2"/>
    <w:lvl w:ilvl="0" w:tplc="DB284764">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39024A"/>
    <w:multiLevelType w:val="hybridMultilevel"/>
    <w:tmpl w:val="6060CC06"/>
    <w:lvl w:ilvl="0" w:tplc="1FDC9144">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555678"/>
    <w:multiLevelType w:val="hybridMultilevel"/>
    <w:tmpl w:val="74CE709C"/>
    <w:lvl w:ilvl="0" w:tplc="5104580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11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4D"/>
    <w:rsid w:val="00004E5C"/>
    <w:rsid w:val="00021D13"/>
    <w:rsid w:val="00031548"/>
    <w:rsid w:val="00036E15"/>
    <w:rsid w:val="00050361"/>
    <w:rsid w:val="00067191"/>
    <w:rsid w:val="00096210"/>
    <w:rsid w:val="000A4C26"/>
    <w:rsid w:val="000C6DED"/>
    <w:rsid w:val="000E32B5"/>
    <w:rsid w:val="000F3525"/>
    <w:rsid w:val="0011372E"/>
    <w:rsid w:val="0012029B"/>
    <w:rsid w:val="00137A15"/>
    <w:rsid w:val="001A563D"/>
    <w:rsid w:val="001A7A0D"/>
    <w:rsid w:val="001B56B2"/>
    <w:rsid w:val="001B7C64"/>
    <w:rsid w:val="001C3DD2"/>
    <w:rsid w:val="001E1078"/>
    <w:rsid w:val="001E1174"/>
    <w:rsid w:val="001E77F0"/>
    <w:rsid w:val="001F1EE2"/>
    <w:rsid w:val="001F4AEE"/>
    <w:rsid w:val="001F5506"/>
    <w:rsid w:val="0020554E"/>
    <w:rsid w:val="00226E46"/>
    <w:rsid w:val="00244C18"/>
    <w:rsid w:val="00247CF8"/>
    <w:rsid w:val="00274BA7"/>
    <w:rsid w:val="00277AFB"/>
    <w:rsid w:val="002859B2"/>
    <w:rsid w:val="00296C67"/>
    <w:rsid w:val="002A0973"/>
    <w:rsid w:val="002A25ED"/>
    <w:rsid w:val="002B1E2E"/>
    <w:rsid w:val="002B2367"/>
    <w:rsid w:val="002C1F92"/>
    <w:rsid w:val="002D6427"/>
    <w:rsid w:val="002D7F94"/>
    <w:rsid w:val="002E0FB6"/>
    <w:rsid w:val="002F6892"/>
    <w:rsid w:val="002F7416"/>
    <w:rsid w:val="00314498"/>
    <w:rsid w:val="00317E9C"/>
    <w:rsid w:val="003215FF"/>
    <w:rsid w:val="003228E1"/>
    <w:rsid w:val="00332E63"/>
    <w:rsid w:val="003343B5"/>
    <w:rsid w:val="0037543C"/>
    <w:rsid w:val="00376DF3"/>
    <w:rsid w:val="0038517A"/>
    <w:rsid w:val="00393EAE"/>
    <w:rsid w:val="003978DC"/>
    <w:rsid w:val="00397DBA"/>
    <w:rsid w:val="003B3750"/>
    <w:rsid w:val="003C2BE3"/>
    <w:rsid w:val="003C420E"/>
    <w:rsid w:val="003D7FF2"/>
    <w:rsid w:val="003F0E0F"/>
    <w:rsid w:val="00404DEE"/>
    <w:rsid w:val="004144E3"/>
    <w:rsid w:val="004162E0"/>
    <w:rsid w:val="00436A15"/>
    <w:rsid w:val="0044227E"/>
    <w:rsid w:val="004715F0"/>
    <w:rsid w:val="00485203"/>
    <w:rsid w:val="0049001C"/>
    <w:rsid w:val="004A6D13"/>
    <w:rsid w:val="004B6595"/>
    <w:rsid w:val="004C3D27"/>
    <w:rsid w:val="004C42CF"/>
    <w:rsid w:val="004E078F"/>
    <w:rsid w:val="004E49E5"/>
    <w:rsid w:val="004F2E0D"/>
    <w:rsid w:val="004F5450"/>
    <w:rsid w:val="004F5909"/>
    <w:rsid w:val="004F796A"/>
    <w:rsid w:val="00513D77"/>
    <w:rsid w:val="00536799"/>
    <w:rsid w:val="00593746"/>
    <w:rsid w:val="005A1DCA"/>
    <w:rsid w:val="005B05D8"/>
    <w:rsid w:val="005B0DE6"/>
    <w:rsid w:val="005B5F8F"/>
    <w:rsid w:val="005C2B36"/>
    <w:rsid w:val="005D094B"/>
    <w:rsid w:val="005D6A70"/>
    <w:rsid w:val="005D7079"/>
    <w:rsid w:val="005F05AE"/>
    <w:rsid w:val="005F438A"/>
    <w:rsid w:val="00613083"/>
    <w:rsid w:val="00623C76"/>
    <w:rsid w:val="00636D83"/>
    <w:rsid w:val="00640A51"/>
    <w:rsid w:val="0064301D"/>
    <w:rsid w:val="006476B3"/>
    <w:rsid w:val="00655E6C"/>
    <w:rsid w:val="0066473B"/>
    <w:rsid w:val="00697A00"/>
    <w:rsid w:val="006A4550"/>
    <w:rsid w:val="006C125F"/>
    <w:rsid w:val="006C634D"/>
    <w:rsid w:val="006F4844"/>
    <w:rsid w:val="0070019D"/>
    <w:rsid w:val="0072246D"/>
    <w:rsid w:val="007458B6"/>
    <w:rsid w:val="007519C7"/>
    <w:rsid w:val="0077657C"/>
    <w:rsid w:val="00790F41"/>
    <w:rsid w:val="00794BEC"/>
    <w:rsid w:val="007A115C"/>
    <w:rsid w:val="007B663E"/>
    <w:rsid w:val="007D3575"/>
    <w:rsid w:val="007F2467"/>
    <w:rsid w:val="007F44DB"/>
    <w:rsid w:val="00813383"/>
    <w:rsid w:val="00845572"/>
    <w:rsid w:val="00852C67"/>
    <w:rsid w:val="00865F90"/>
    <w:rsid w:val="008675CA"/>
    <w:rsid w:val="008802E9"/>
    <w:rsid w:val="00885A4B"/>
    <w:rsid w:val="008949BE"/>
    <w:rsid w:val="008A4114"/>
    <w:rsid w:val="008B1797"/>
    <w:rsid w:val="008B5B30"/>
    <w:rsid w:val="008C1AAA"/>
    <w:rsid w:val="008C5B1C"/>
    <w:rsid w:val="008D77F3"/>
    <w:rsid w:val="008E605B"/>
    <w:rsid w:val="00903225"/>
    <w:rsid w:val="0093116D"/>
    <w:rsid w:val="00942F5F"/>
    <w:rsid w:val="009D63C8"/>
    <w:rsid w:val="009E0EA3"/>
    <w:rsid w:val="009E10D0"/>
    <w:rsid w:val="00A05514"/>
    <w:rsid w:val="00A15AFA"/>
    <w:rsid w:val="00A31F9D"/>
    <w:rsid w:val="00A7290E"/>
    <w:rsid w:val="00A926D3"/>
    <w:rsid w:val="00A97E90"/>
    <w:rsid w:val="00AA03F9"/>
    <w:rsid w:val="00AA428C"/>
    <w:rsid w:val="00AA7F9C"/>
    <w:rsid w:val="00AD0A31"/>
    <w:rsid w:val="00AE3183"/>
    <w:rsid w:val="00B3241F"/>
    <w:rsid w:val="00B36E81"/>
    <w:rsid w:val="00B44C5B"/>
    <w:rsid w:val="00B5332B"/>
    <w:rsid w:val="00B67313"/>
    <w:rsid w:val="00B7045D"/>
    <w:rsid w:val="00B760F4"/>
    <w:rsid w:val="00B83AE5"/>
    <w:rsid w:val="00B90DA0"/>
    <w:rsid w:val="00B92204"/>
    <w:rsid w:val="00BB12CA"/>
    <w:rsid w:val="00BC1C42"/>
    <w:rsid w:val="00BC3716"/>
    <w:rsid w:val="00BE24B4"/>
    <w:rsid w:val="00C06712"/>
    <w:rsid w:val="00C25BD0"/>
    <w:rsid w:val="00C47449"/>
    <w:rsid w:val="00C50ABE"/>
    <w:rsid w:val="00C52861"/>
    <w:rsid w:val="00C606B3"/>
    <w:rsid w:val="00C93F39"/>
    <w:rsid w:val="00CB3C9F"/>
    <w:rsid w:val="00CB540B"/>
    <w:rsid w:val="00CF146A"/>
    <w:rsid w:val="00CF37CE"/>
    <w:rsid w:val="00D02EEF"/>
    <w:rsid w:val="00D06190"/>
    <w:rsid w:val="00D160D7"/>
    <w:rsid w:val="00D259D8"/>
    <w:rsid w:val="00D27296"/>
    <w:rsid w:val="00D3317F"/>
    <w:rsid w:val="00D51552"/>
    <w:rsid w:val="00D53ECB"/>
    <w:rsid w:val="00D5550A"/>
    <w:rsid w:val="00D8664A"/>
    <w:rsid w:val="00D92A4D"/>
    <w:rsid w:val="00D9366E"/>
    <w:rsid w:val="00DB3891"/>
    <w:rsid w:val="00DB77D7"/>
    <w:rsid w:val="00DC23A9"/>
    <w:rsid w:val="00DC3455"/>
    <w:rsid w:val="00DE280D"/>
    <w:rsid w:val="00DE55AC"/>
    <w:rsid w:val="00DF2443"/>
    <w:rsid w:val="00E067E2"/>
    <w:rsid w:val="00E22958"/>
    <w:rsid w:val="00E42457"/>
    <w:rsid w:val="00E52A3E"/>
    <w:rsid w:val="00E631BF"/>
    <w:rsid w:val="00E64378"/>
    <w:rsid w:val="00EA337B"/>
    <w:rsid w:val="00EA7190"/>
    <w:rsid w:val="00EC262E"/>
    <w:rsid w:val="00EE3B7C"/>
    <w:rsid w:val="00F13027"/>
    <w:rsid w:val="00F2384B"/>
    <w:rsid w:val="00F46ABB"/>
    <w:rsid w:val="00F753AC"/>
    <w:rsid w:val="00F763B1"/>
    <w:rsid w:val="00F86CE8"/>
    <w:rsid w:val="00F9770F"/>
    <w:rsid w:val="00FA539E"/>
    <w:rsid w:val="00FB3375"/>
    <w:rsid w:val="00FC3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61BA"/>
  <w15:chartTrackingRefBased/>
  <w15:docId w15:val="{C5389744-E980-4F3F-ACD5-B67832F6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4AEE"/>
    <w:pPr>
      <w:spacing w:line="240" w:lineRule="auto"/>
    </w:pPr>
    <w:rPr>
      <w:sz w:val="24"/>
    </w:rPr>
  </w:style>
  <w:style w:type="paragraph" w:styleId="berschrift1">
    <w:name w:val="heading 1"/>
    <w:basedOn w:val="Standard"/>
    <w:next w:val="Standard"/>
    <w:link w:val="berschrift1Zchn"/>
    <w:uiPriority w:val="9"/>
    <w:qFormat/>
    <w:rsid w:val="00C93F39"/>
    <w:pPr>
      <w:keepNext/>
      <w:keepLines/>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C93F39"/>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FA539E"/>
    <w:pPr>
      <w:keepNext/>
      <w:keepLines/>
      <w:spacing w:before="200" w:after="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C420E"/>
    <w:pPr>
      <w:tabs>
        <w:tab w:val="center" w:pos="4536"/>
        <w:tab w:val="right" w:pos="9072"/>
      </w:tabs>
      <w:spacing w:after="0"/>
    </w:pPr>
  </w:style>
  <w:style w:type="character" w:customStyle="1" w:styleId="KopfzeileZchn">
    <w:name w:val="Kopfzeile Zchn"/>
    <w:basedOn w:val="Absatz-Standardschriftart"/>
    <w:link w:val="Kopfzeile"/>
    <w:uiPriority w:val="99"/>
    <w:rsid w:val="003C420E"/>
    <w:rPr>
      <w:sz w:val="24"/>
    </w:rPr>
  </w:style>
  <w:style w:type="paragraph" w:styleId="Fuzeile">
    <w:name w:val="footer"/>
    <w:basedOn w:val="Standard"/>
    <w:link w:val="FuzeileZchn"/>
    <w:uiPriority w:val="99"/>
    <w:unhideWhenUsed/>
    <w:rsid w:val="003C420E"/>
    <w:pPr>
      <w:tabs>
        <w:tab w:val="center" w:pos="4536"/>
        <w:tab w:val="right" w:pos="9072"/>
      </w:tabs>
      <w:spacing w:after="0"/>
    </w:pPr>
  </w:style>
  <w:style w:type="character" w:customStyle="1" w:styleId="FuzeileZchn">
    <w:name w:val="Fußzeile Zchn"/>
    <w:basedOn w:val="Absatz-Standardschriftart"/>
    <w:link w:val="Fuzeile"/>
    <w:uiPriority w:val="99"/>
    <w:rsid w:val="003C420E"/>
    <w:rPr>
      <w:sz w:val="24"/>
    </w:rPr>
  </w:style>
  <w:style w:type="character" w:customStyle="1" w:styleId="berschrift1Zchn">
    <w:name w:val="Überschrift 1 Zchn"/>
    <w:basedOn w:val="Absatz-Standardschriftart"/>
    <w:link w:val="berschrift1"/>
    <w:uiPriority w:val="9"/>
    <w:rsid w:val="00C93F39"/>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C93F39"/>
    <w:rPr>
      <w:rFonts w:asciiTheme="majorHAnsi" w:eastAsiaTheme="majorEastAsia" w:hAnsiTheme="majorHAnsi" w:cstheme="majorBidi"/>
      <w:b/>
      <w:bCs/>
      <w:sz w:val="26"/>
      <w:szCs w:val="26"/>
    </w:rPr>
  </w:style>
  <w:style w:type="paragraph" w:styleId="Titel">
    <w:name w:val="Title"/>
    <w:basedOn w:val="Standard"/>
    <w:next w:val="Standard"/>
    <w:link w:val="TitelZchn"/>
    <w:uiPriority w:val="10"/>
    <w:qFormat/>
    <w:rsid w:val="00FA539E"/>
    <w:pPr>
      <w:spacing w:after="300"/>
      <w:contextualSpacing/>
    </w:pPr>
    <w:rPr>
      <w:rFonts w:ascii="LucidaBri" w:eastAsiaTheme="majorEastAsia" w:hAnsi="LucidaBr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FA539E"/>
    <w:rPr>
      <w:rFonts w:ascii="LucidaBri" w:eastAsiaTheme="majorEastAsia" w:hAnsi="LucidaBri" w:cstheme="majorBidi"/>
      <w:color w:val="000000" w:themeColor="text2" w:themeShade="BF"/>
      <w:spacing w:val="5"/>
      <w:kern w:val="28"/>
      <w:sz w:val="52"/>
      <w:szCs w:val="52"/>
    </w:rPr>
  </w:style>
  <w:style w:type="character" w:customStyle="1" w:styleId="berschrift3Zchn">
    <w:name w:val="Überschrift 3 Zchn"/>
    <w:basedOn w:val="Absatz-Standardschriftart"/>
    <w:link w:val="berschrift3"/>
    <w:uiPriority w:val="9"/>
    <w:semiHidden/>
    <w:rsid w:val="00FA539E"/>
    <w:rPr>
      <w:rFonts w:asciiTheme="majorHAnsi" w:eastAsiaTheme="majorEastAsia" w:hAnsiTheme="majorHAnsi" w:cstheme="majorBidi"/>
      <w:b/>
      <w:bCs/>
      <w:sz w:val="24"/>
    </w:rPr>
  </w:style>
  <w:style w:type="table" w:styleId="Tabellenraster">
    <w:name w:val="Table Grid"/>
    <w:basedOn w:val="NormaleTabelle"/>
    <w:uiPriority w:val="59"/>
    <w:rsid w:val="00697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802E9"/>
    <w:pPr>
      <w:ind w:left="720"/>
      <w:contextualSpacing/>
    </w:pPr>
  </w:style>
  <w:style w:type="paragraph" w:styleId="Sprechblasentext">
    <w:name w:val="Balloon Text"/>
    <w:basedOn w:val="Standard"/>
    <w:link w:val="SprechblasentextZchn"/>
    <w:uiPriority w:val="99"/>
    <w:semiHidden/>
    <w:unhideWhenUsed/>
    <w:rsid w:val="00D8664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664A"/>
    <w:rPr>
      <w:rFonts w:ascii="Segoe UI" w:hAnsi="Segoe UI" w:cs="Segoe UI"/>
      <w:sz w:val="18"/>
      <w:szCs w:val="18"/>
    </w:rPr>
  </w:style>
  <w:style w:type="paragraph" w:styleId="Textkrper2">
    <w:name w:val="Body Text 2"/>
    <w:basedOn w:val="Standard"/>
    <w:link w:val="Textkrper2Zchn"/>
    <w:semiHidden/>
    <w:rsid w:val="001F5506"/>
    <w:pPr>
      <w:spacing w:after="0"/>
    </w:pPr>
    <w:rPr>
      <w:rFonts w:ascii="Arial" w:eastAsia="Times New Roman" w:hAnsi="Arial" w:cs="Times New Roman"/>
      <w:b/>
      <w:bCs/>
      <w:sz w:val="22"/>
      <w:szCs w:val="24"/>
      <w:lang w:eastAsia="de-DE"/>
    </w:rPr>
  </w:style>
  <w:style w:type="character" w:customStyle="1" w:styleId="Textkrper2Zchn">
    <w:name w:val="Textkörper 2 Zchn"/>
    <w:basedOn w:val="Absatz-Standardschriftart"/>
    <w:link w:val="Textkrper2"/>
    <w:semiHidden/>
    <w:rsid w:val="001F5506"/>
    <w:rPr>
      <w:rFonts w:ascii="Arial" w:eastAsia="Times New Roman" w:hAnsi="Arial" w:cs="Times New Roman"/>
      <w:b/>
      <w:bCs/>
      <w:szCs w:val="24"/>
      <w:lang w:eastAsia="de-DE"/>
    </w:rPr>
  </w:style>
  <w:style w:type="paragraph" w:styleId="Textkrper3">
    <w:name w:val="Body Text 3"/>
    <w:basedOn w:val="Standard"/>
    <w:link w:val="Textkrper3Zchn"/>
    <w:uiPriority w:val="99"/>
    <w:unhideWhenUsed/>
    <w:rsid w:val="001F5506"/>
    <w:pPr>
      <w:spacing w:after="120"/>
    </w:pPr>
    <w:rPr>
      <w:sz w:val="16"/>
      <w:szCs w:val="16"/>
    </w:rPr>
  </w:style>
  <w:style w:type="character" w:customStyle="1" w:styleId="Textkrper3Zchn">
    <w:name w:val="Textkörper 3 Zchn"/>
    <w:basedOn w:val="Absatz-Standardschriftart"/>
    <w:link w:val="Textkrper3"/>
    <w:uiPriority w:val="99"/>
    <w:rsid w:val="001F5506"/>
    <w:rPr>
      <w:sz w:val="16"/>
      <w:szCs w:val="16"/>
    </w:rPr>
  </w:style>
  <w:style w:type="paragraph" w:customStyle="1" w:styleId="Arbeit">
    <w:name w:val="Arbeit"/>
    <w:basedOn w:val="Standard"/>
    <w:rsid w:val="001F5506"/>
    <w:pPr>
      <w:spacing w:after="0" w:line="360" w:lineRule="auto"/>
    </w:pPr>
    <w:rPr>
      <w:rFonts w:ascii="Arial" w:eastAsia="Times New Roman" w:hAnsi="Arial" w:cs="Times New Roman"/>
      <w:b/>
      <w:bCs/>
      <w:szCs w:val="24"/>
      <w:lang w:eastAsia="de-DE"/>
    </w:rPr>
  </w:style>
  <w:style w:type="character" w:customStyle="1" w:styleId="hc1">
    <w:name w:val="hc1"/>
    <w:basedOn w:val="Absatz-Standardschriftart"/>
    <w:rsid w:val="001F5506"/>
  </w:style>
  <w:style w:type="character" w:styleId="Fett">
    <w:name w:val="Strong"/>
    <w:qFormat/>
    <w:rsid w:val="001F5506"/>
    <w:rPr>
      <w:b/>
      <w:bCs/>
    </w:rPr>
  </w:style>
  <w:style w:type="character" w:styleId="Kommentarzeichen">
    <w:name w:val="annotation reference"/>
    <w:basedOn w:val="Absatz-Standardschriftart"/>
    <w:uiPriority w:val="99"/>
    <w:semiHidden/>
    <w:unhideWhenUsed/>
    <w:rsid w:val="001F550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_Kreis Mi-Lk">
  <a:themeElements>
    <a:clrScheme name="Kreis Mi-Lk_CD">
      <a:dk1>
        <a:sysClr val="windowText" lastClr="000000"/>
      </a:dk1>
      <a:lt1>
        <a:sysClr val="window" lastClr="FFFFFF"/>
      </a:lt1>
      <a:dk2>
        <a:srgbClr val="000000"/>
      </a:dk2>
      <a:lt2>
        <a:srgbClr val="EEECE1"/>
      </a:lt2>
      <a:accent1>
        <a:srgbClr val="962228"/>
      </a:accent1>
      <a:accent2>
        <a:srgbClr val="C92D34"/>
      </a:accent2>
      <a:accent3>
        <a:srgbClr val="DD696F"/>
      </a:accent3>
      <a:accent4>
        <a:srgbClr val="78C900"/>
      </a:accent4>
      <a:accent5>
        <a:srgbClr val="3C6400"/>
      </a:accent5>
      <a:accent6>
        <a:srgbClr val="DDFFAB"/>
      </a:accent6>
      <a:hlink>
        <a:srgbClr val="0000FF"/>
      </a:hlink>
      <a:folHlink>
        <a:srgbClr val="800080"/>
      </a:folHlink>
    </a:clrScheme>
    <a:fontScheme name="Kreis MiLk_Schriftarten">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2439</Words>
  <Characters>15369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Kreis Minden-Lübbecke</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Christiana (Kreis Mi-Lk)</dc:creator>
  <cp:keywords/>
  <dc:description/>
  <cp:lastModifiedBy>Gerdsmeier, Katrin (Kreis Mi-Lk)</cp:lastModifiedBy>
  <cp:revision>30</cp:revision>
  <cp:lastPrinted>2021-05-10T09:28:00Z</cp:lastPrinted>
  <dcterms:created xsi:type="dcterms:W3CDTF">2025-03-19T11:37:00Z</dcterms:created>
  <dcterms:modified xsi:type="dcterms:W3CDTF">2025-03-20T08:16:00Z</dcterms:modified>
</cp:coreProperties>
</file>