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1C" w:rsidRDefault="00487C1C" w:rsidP="003B124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16A4D13" wp14:editId="2F75BFBD">
            <wp:extent cx="857250" cy="3524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28A0092B-C50C-407E-A947-70E740481C1C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C1C" w:rsidRDefault="00487C1C" w:rsidP="003B124C">
      <w:pPr>
        <w:jc w:val="center"/>
        <w:rPr>
          <w:b/>
          <w:sz w:val="24"/>
          <w:szCs w:val="24"/>
        </w:rPr>
      </w:pPr>
    </w:p>
    <w:p w:rsidR="00487C1C" w:rsidRPr="004025A1" w:rsidRDefault="00487C1C" w:rsidP="003B124C">
      <w:pPr>
        <w:jc w:val="center"/>
        <w:rPr>
          <w:b/>
        </w:rPr>
      </w:pPr>
      <w:r w:rsidRPr="004025A1">
        <w:rPr>
          <w:b/>
        </w:rPr>
        <w:t>Öffentliche Bekanntmachung</w:t>
      </w:r>
    </w:p>
    <w:p w:rsidR="00487C1C" w:rsidRPr="004025A1" w:rsidRDefault="00487C1C" w:rsidP="003B124C">
      <w:pPr>
        <w:jc w:val="center"/>
        <w:rPr>
          <w:b/>
        </w:rPr>
      </w:pPr>
      <w:r>
        <w:rPr>
          <w:b/>
        </w:rPr>
        <w:t>gemäß § 5 Abs. 2 des Gesetze</w:t>
      </w:r>
      <w:r w:rsidRPr="004025A1">
        <w:rPr>
          <w:b/>
        </w:rPr>
        <w:t>s über die Umweltverträglichkeitsprüfung (UVPG)</w:t>
      </w:r>
    </w:p>
    <w:p w:rsidR="00487C1C" w:rsidRPr="004025A1" w:rsidRDefault="00487C1C" w:rsidP="007C230B">
      <w:pPr>
        <w:rPr>
          <w:b/>
        </w:rPr>
      </w:pPr>
    </w:p>
    <w:p w:rsidR="007C230B" w:rsidRDefault="00487C1C" w:rsidP="007C230B">
      <w:pPr>
        <w:jc w:val="both"/>
      </w:pPr>
      <w:r>
        <w:t xml:space="preserve">Die </w:t>
      </w:r>
      <w:proofErr w:type="spellStart"/>
      <w:r>
        <w:t>WestfalenWIND</w:t>
      </w:r>
      <w:proofErr w:type="spellEnd"/>
      <w:r>
        <w:t xml:space="preserve"> </w:t>
      </w:r>
      <w:proofErr w:type="spellStart"/>
      <w:r>
        <w:t>Planungs</w:t>
      </w:r>
      <w:proofErr w:type="spellEnd"/>
      <w:r>
        <w:t xml:space="preserve"> GmbH &amp; Co. KG</w:t>
      </w:r>
      <w:r w:rsidR="007C230B">
        <w:t xml:space="preserve"> </w:t>
      </w:r>
      <w:r>
        <w:t xml:space="preserve">v. d. WW Planung </w:t>
      </w:r>
      <w:proofErr w:type="spellStart"/>
      <w:r>
        <w:t>Verwaltungs</w:t>
      </w:r>
      <w:proofErr w:type="spellEnd"/>
      <w:r>
        <w:t xml:space="preserve"> GmbH</w:t>
      </w:r>
      <w:r w:rsidR="007C230B">
        <w:t xml:space="preserve"> </w:t>
      </w:r>
      <w:r>
        <w:t xml:space="preserve">v. d. GF Andreas </w:t>
      </w:r>
      <w:proofErr w:type="spellStart"/>
      <w:r>
        <w:t>Düser</w:t>
      </w:r>
      <w:proofErr w:type="spellEnd"/>
      <w:r>
        <w:t xml:space="preserve"> mit Sitz in </w:t>
      </w:r>
      <w:r w:rsidR="007C230B">
        <w:t>33100 Paderborn</w:t>
      </w:r>
      <w:r>
        <w:t xml:space="preserve"> hat beim Hochsauerlandkreis, als zuständiger Genehmigungsbehörde, am 14.10.2024 </w:t>
      </w:r>
      <w:r w:rsidR="007C230B">
        <w:t xml:space="preserve">einen Antrag auf Vorbescheid gem. § 9 Abs. 1a BImSchG für sieben WEA des Typs Vestas V172-7.2MW mit einer Nabenhöhe </w:t>
      </w:r>
      <w:r w:rsidR="00D75D92">
        <w:t>von 175</w:t>
      </w:r>
      <w:r w:rsidR="007C230B">
        <w:t>, einem Rotordurchmesser von 172 m, einer Gesamthöhe von 261 m und einer Nennleistung von 7.2 MW gestellt</w:t>
      </w:r>
      <w:r w:rsidR="008B4568">
        <w:t xml:space="preserve">. </w:t>
      </w:r>
      <w:r w:rsidR="007C230B">
        <w:t>Antragsgegenstand: Privilegierung nach § 35 Abs. 1 Nr. 5 BauGB,</w:t>
      </w:r>
      <w:r w:rsidR="00D75D92">
        <w:t xml:space="preserve"> Darstellungen des Flächennutzungsplans gem. § 35 Abs. 3 S. 1 Nr. 1 und § 35 Abs. 3 S. 3 BauGB (sog. Ausschlusswirkung), Schattenwurf und Schallimmissionen </w:t>
      </w:r>
      <w:r w:rsidR="004C6E20">
        <w:t xml:space="preserve">sowie luftfahrtrechtliche Belange </w:t>
      </w:r>
      <w:r w:rsidR="007C230B">
        <w:t>auf den nachfolgend bezeichneten Grundstücken:</w:t>
      </w:r>
    </w:p>
    <w:p w:rsidR="00D75D92" w:rsidRDefault="00D75D92" w:rsidP="00D75D92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1406"/>
        <w:gridCol w:w="1954"/>
        <w:gridCol w:w="833"/>
        <w:gridCol w:w="1807"/>
      </w:tblGrid>
      <w:tr w:rsidR="00D75D92" w:rsidTr="000B38D0">
        <w:tc>
          <w:tcPr>
            <w:tcW w:w="2977" w:type="dxa"/>
          </w:tcPr>
          <w:p w:rsidR="00D75D92" w:rsidRDefault="00D75D92" w:rsidP="00882A1C">
            <w:pPr>
              <w:rPr>
                <w:b/>
              </w:rPr>
            </w:pPr>
            <w:r>
              <w:rPr>
                <w:b/>
              </w:rPr>
              <w:t>Bezeichnung</w:t>
            </w:r>
          </w:p>
        </w:tc>
        <w:tc>
          <w:tcPr>
            <w:tcW w:w="1418" w:type="dxa"/>
          </w:tcPr>
          <w:p w:rsidR="00D75D92" w:rsidRDefault="00D75D92" w:rsidP="00882A1C">
            <w:pPr>
              <w:rPr>
                <w:b/>
              </w:rPr>
            </w:pPr>
            <w:r>
              <w:rPr>
                <w:b/>
              </w:rPr>
              <w:t xml:space="preserve">Anlagen-Nr. </w:t>
            </w:r>
          </w:p>
        </w:tc>
        <w:tc>
          <w:tcPr>
            <w:tcW w:w="1984" w:type="dxa"/>
          </w:tcPr>
          <w:p w:rsidR="00D75D92" w:rsidRDefault="00D75D92" w:rsidP="00882A1C">
            <w:pPr>
              <w:rPr>
                <w:b/>
              </w:rPr>
            </w:pPr>
            <w:r>
              <w:rPr>
                <w:b/>
              </w:rPr>
              <w:t>Gemarkung</w:t>
            </w:r>
          </w:p>
        </w:tc>
        <w:tc>
          <w:tcPr>
            <w:tcW w:w="845" w:type="dxa"/>
          </w:tcPr>
          <w:p w:rsidR="00D75D92" w:rsidRDefault="00D75D92" w:rsidP="00882A1C">
            <w:pPr>
              <w:rPr>
                <w:b/>
              </w:rPr>
            </w:pPr>
            <w:r>
              <w:rPr>
                <w:b/>
              </w:rPr>
              <w:t>Flur</w:t>
            </w:r>
          </w:p>
        </w:tc>
        <w:tc>
          <w:tcPr>
            <w:tcW w:w="1833" w:type="dxa"/>
          </w:tcPr>
          <w:p w:rsidR="00D75D92" w:rsidRDefault="00D75D92" w:rsidP="00882A1C">
            <w:pPr>
              <w:rPr>
                <w:b/>
              </w:rPr>
            </w:pPr>
            <w:r>
              <w:rPr>
                <w:b/>
              </w:rPr>
              <w:t>Flurstück/e</w:t>
            </w:r>
          </w:p>
        </w:tc>
      </w:tr>
      <w:tr w:rsidR="00D75D92" w:rsidTr="000B38D0">
        <w:tc>
          <w:tcPr>
            <w:tcW w:w="2977" w:type="dxa"/>
          </w:tcPr>
          <w:p w:rsidR="00D75D92" w:rsidRDefault="00D75D92" w:rsidP="00D75D92">
            <w:r>
              <w:t>WEA 1 – Vestas V172-7.2MW</w:t>
            </w:r>
          </w:p>
        </w:tc>
        <w:tc>
          <w:tcPr>
            <w:tcW w:w="1418" w:type="dxa"/>
          </w:tcPr>
          <w:p w:rsidR="00D75D92" w:rsidRDefault="000B38D0" w:rsidP="00882A1C">
            <w:r>
              <w:t>8194978.1</w:t>
            </w:r>
          </w:p>
        </w:tc>
        <w:tc>
          <w:tcPr>
            <w:tcW w:w="1984" w:type="dxa"/>
          </w:tcPr>
          <w:p w:rsidR="00D75D92" w:rsidRDefault="000B38D0" w:rsidP="00882A1C">
            <w:proofErr w:type="spellStart"/>
            <w:r>
              <w:t>Leitmar</w:t>
            </w:r>
            <w:proofErr w:type="spellEnd"/>
          </w:p>
        </w:tc>
        <w:tc>
          <w:tcPr>
            <w:tcW w:w="845" w:type="dxa"/>
          </w:tcPr>
          <w:p w:rsidR="00D75D92" w:rsidRDefault="000B38D0" w:rsidP="00882A1C">
            <w:r>
              <w:t>6</w:t>
            </w:r>
          </w:p>
        </w:tc>
        <w:tc>
          <w:tcPr>
            <w:tcW w:w="1833" w:type="dxa"/>
          </w:tcPr>
          <w:p w:rsidR="00D75D92" w:rsidRDefault="000B38D0" w:rsidP="00882A1C">
            <w:r>
              <w:t>32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2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8194978.2</w:t>
            </w:r>
          </w:p>
        </w:tc>
        <w:tc>
          <w:tcPr>
            <w:tcW w:w="1984" w:type="dxa"/>
          </w:tcPr>
          <w:p w:rsidR="000B38D0" w:rsidRDefault="000B38D0" w:rsidP="000B38D0">
            <w:proofErr w:type="spellStart"/>
            <w:r>
              <w:t>Leitmar</w:t>
            </w:r>
            <w:proofErr w:type="spellEnd"/>
          </w:p>
        </w:tc>
        <w:tc>
          <w:tcPr>
            <w:tcW w:w="845" w:type="dxa"/>
          </w:tcPr>
          <w:p w:rsidR="000B38D0" w:rsidRDefault="000B38D0" w:rsidP="000B38D0">
            <w:r>
              <w:t>6</w:t>
            </w:r>
          </w:p>
        </w:tc>
        <w:tc>
          <w:tcPr>
            <w:tcW w:w="1833" w:type="dxa"/>
          </w:tcPr>
          <w:p w:rsidR="000B38D0" w:rsidRDefault="000B38D0" w:rsidP="000B38D0">
            <w:r>
              <w:t>32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3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8194978.3</w:t>
            </w:r>
          </w:p>
        </w:tc>
        <w:tc>
          <w:tcPr>
            <w:tcW w:w="1984" w:type="dxa"/>
          </w:tcPr>
          <w:p w:rsidR="000B38D0" w:rsidRDefault="000B38D0" w:rsidP="000B38D0">
            <w:r>
              <w:t>Borntosten</w:t>
            </w:r>
          </w:p>
        </w:tc>
        <w:tc>
          <w:tcPr>
            <w:tcW w:w="845" w:type="dxa"/>
          </w:tcPr>
          <w:p w:rsidR="000B38D0" w:rsidRDefault="000B38D0" w:rsidP="000B38D0">
            <w:r>
              <w:t>3</w:t>
            </w:r>
          </w:p>
        </w:tc>
        <w:tc>
          <w:tcPr>
            <w:tcW w:w="1833" w:type="dxa"/>
          </w:tcPr>
          <w:p w:rsidR="000B38D0" w:rsidRDefault="000B38D0" w:rsidP="000B38D0">
            <w:r>
              <w:t>4 und 18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4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8194978.4</w:t>
            </w:r>
          </w:p>
        </w:tc>
        <w:tc>
          <w:tcPr>
            <w:tcW w:w="1984" w:type="dxa"/>
          </w:tcPr>
          <w:p w:rsidR="000B38D0" w:rsidRDefault="000B38D0" w:rsidP="000B38D0">
            <w:r>
              <w:t>Borntosten</w:t>
            </w:r>
          </w:p>
        </w:tc>
        <w:tc>
          <w:tcPr>
            <w:tcW w:w="845" w:type="dxa"/>
          </w:tcPr>
          <w:p w:rsidR="000B38D0" w:rsidRDefault="000B38D0" w:rsidP="000B38D0">
            <w:r>
              <w:t>3</w:t>
            </w:r>
          </w:p>
        </w:tc>
        <w:tc>
          <w:tcPr>
            <w:tcW w:w="1833" w:type="dxa"/>
          </w:tcPr>
          <w:p w:rsidR="000B38D0" w:rsidRDefault="000B38D0" w:rsidP="000B38D0">
            <w:r>
              <w:t>2, 18 und 4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5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8194978.5</w:t>
            </w:r>
          </w:p>
        </w:tc>
        <w:tc>
          <w:tcPr>
            <w:tcW w:w="1984" w:type="dxa"/>
          </w:tcPr>
          <w:p w:rsidR="000B38D0" w:rsidRDefault="000B38D0" w:rsidP="000B38D0">
            <w:r>
              <w:t>Borntosten</w:t>
            </w:r>
          </w:p>
        </w:tc>
        <w:tc>
          <w:tcPr>
            <w:tcW w:w="845" w:type="dxa"/>
          </w:tcPr>
          <w:p w:rsidR="000B38D0" w:rsidRDefault="000B38D0" w:rsidP="000B38D0">
            <w:r>
              <w:t>3</w:t>
            </w:r>
          </w:p>
        </w:tc>
        <w:tc>
          <w:tcPr>
            <w:tcW w:w="1833" w:type="dxa"/>
          </w:tcPr>
          <w:p w:rsidR="000B38D0" w:rsidRDefault="000B38D0" w:rsidP="000B38D0">
            <w:r>
              <w:t>18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6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8194978.6</w:t>
            </w:r>
          </w:p>
        </w:tc>
        <w:tc>
          <w:tcPr>
            <w:tcW w:w="1984" w:type="dxa"/>
          </w:tcPr>
          <w:p w:rsidR="000B38D0" w:rsidRDefault="000B38D0" w:rsidP="000B38D0">
            <w:r>
              <w:t>Borntosten</w:t>
            </w:r>
          </w:p>
        </w:tc>
        <w:tc>
          <w:tcPr>
            <w:tcW w:w="845" w:type="dxa"/>
          </w:tcPr>
          <w:p w:rsidR="000B38D0" w:rsidRDefault="000B38D0" w:rsidP="000B38D0">
            <w:r>
              <w:t>3</w:t>
            </w:r>
          </w:p>
        </w:tc>
        <w:tc>
          <w:tcPr>
            <w:tcW w:w="1833" w:type="dxa"/>
          </w:tcPr>
          <w:p w:rsidR="000B38D0" w:rsidRDefault="000B38D0" w:rsidP="000B38D0">
            <w:r>
              <w:t>18 und 19</w:t>
            </w:r>
          </w:p>
        </w:tc>
      </w:tr>
      <w:tr w:rsidR="000B38D0" w:rsidTr="000B38D0">
        <w:tc>
          <w:tcPr>
            <w:tcW w:w="2977" w:type="dxa"/>
          </w:tcPr>
          <w:p w:rsidR="000B38D0" w:rsidRDefault="000B38D0" w:rsidP="000B38D0">
            <w:r>
              <w:t>WEA 7 – Vestas V172-7.2MW</w:t>
            </w:r>
          </w:p>
        </w:tc>
        <w:tc>
          <w:tcPr>
            <w:tcW w:w="1418" w:type="dxa"/>
          </w:tcPr>
          <w:p w:rsidR="000B38D0" w:rsidRDefault="000B38D0" w:rsidP="000B38D0">
            <w:r>
              <w:t>8194978.7</w:t>
            </w:r>
          </w:p>
        </w:tc>
        <w:tc>
          <w:tcPr>
            <w:tcW w:w="1984" w:type="dxa"/>
          </w:tcPr>
          <w:p w:rsidR="000B38D0" w:rsidRDefault="000B38D0" w:rsidP="000B38D0">
            <w:r>
              <w:t>Borntosten</w:t>
            </w:r>
          </w:p>
        </w:tc>
        <w:tc>
          <w:tcPr>
            <w:tcW w:w="845" w:type="dxa"/>
          </w:tcPr>
          <w:p w:rsidR="000B38D0" w:rsidRDefault="000B38D0" w:rsidP="000B38D0">
            <w:r>
              <w:t>3</w:t>
            </w:r>
          </w:p>
        </w:tc>
        <w:tc>
          <w:tcPr>
            <w:tcW w:w="1833" w:type="dxa"/>
          </w:tcPr>
          <w:p w:rsidR="000B38D0" w:rsidRDefault="000B38D0" w:rsidP="000B38D0">
            <w:r>
              <w:t>18 und 19</w:t>
            </w:r>
          </w:p>
        </w:tc>
      </w:tr>
    </w:tbl>
    <w:p w:rsidR="00D75D92" w:rsidRDefault="00D75D92" w:rsidP="00D75D92">
      <w:pPr>
        <w:jc w:val="both"/>
      </w:pPr>
    </w:p>
    <w:p w:rsidR="00487C1C" w:rsidRDefault="00D75D92" w:rsidP="007C230B">
      <w:pPr>
        <w:jc w:val="both"/>
      </w:pPr>
      <w:r>
        <w:t xml:space="preserve">Gemäß § 1 Abs. 1 in Verbindung mit Ziffer 1.6.2 des Anhanges 1 der Verordnung über genehmigungsbedürftige Anlagen (4. Verordnung zur Durchführung des Bundes-Immissionsschutzgesetzes) und den Bestimmungen des Bundes-Immissionsschutzgesetzes (BImSchG) bedarf das beantragte Vorhaben einer Genehmigung nach diesen Vorschriften – Verfahrensart „V“. </w:t>
      </w:r>
    </w:p>
    <w:p w:rsidR="007C230B" w:rsidRDefault="007C230B" w:rsidP="007C230B">
      <w:pPr>
        <w:jc w:val="both"/>
      </w:pPr>
    </w:p>
    <w:p w:rsidR="000B38D0" w:rsidRDefault="000B38D0" w:rsidP="000B38D0">
      <w:pPr>
        <w:jc w:val="both"/>
      </w:pPr>
      <w:r w:rsidRPr="007F34E0">
        <w:t xml:space="preserve">Die beantragten WEA bilden eine Windfarm im Sinne des § 2 Abs. 5 UVPG. Eine Windfarm von </w:t>
      </w:r>
      <w:r w:rsidR="00066347">
        <w:t>6 bis weniger als 20</w:t>
      </w:r>
      <w:r w:rsidRPr="007F34E0">
        <w:t xml:space="preserve"> Windenergi</w:t>
      </w:r>
      <w:r w:rsidR="00066347">
        <w:t>eanlagen ist unter der Nr. 1.6.2</w:t>
      </w:r>
      <w:r w:rsidRPr="007F34E0">
        <w:t xml:space="preserve"> Spalte 2 der Anlage 1 des UVPG</w:t>
      </w:r>
      <w:r w:rsidR="00066347">
        <w:t xml:space="preserve"> genannten Vorhaben mit einem „A</w:t>
      </w:r>
      <w:r w:rsidRPr="007F34E0">
        <w:t>“ (</w:t>
      </w:r>
      <w:r w:rsidR="00066347">
        <w:t>Allgemeine Vorprüfung</w:t>
      </w:r>
      <w:r w:rsidRPr="007F34E0">
        <w:t xml:space="preserve"> des Einzelfalls) gekennzeichnet.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>Im Rahmen des Verfahrens nach § 9 Abs. 1a BImSchG wird die Prüfung als sog. Teilprüfung durchgeführt, d. h. es werden nur die Genehmigungsvoraussetzungen i. V. m. § 29 UVPG geprüft, welche im Hinblick auf die Umweltauswirkungen des Vorhaben Antragsgegenstand sind.</w:t>
      </w:r>
    </w:p>
    <w:p w:rsidR="000B38D0" w:rsidRDefault="000B38D0" w:rsidP="000B38D0">
      <w:pPr>
        <w:jc w:val="both"/>
      </w:pPr>
      <w:r>
        <w:rPr>
          <w:u w:val="single"/>
        </w:rPr>
        <w:t>Hinweis:</w:t>
      </w:r>
      <w:r>
        <w:t xml:space="preserve"> im anschließenden Vollverfahren nach § 4 BImSchG erfolgt die ergänzenden Vorprüfung des Einzelfalls auf alle übrigen Genehmigungsvoraussetzungen.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 xml:space="preserve">Die Bewertung wurde anhand der vorgelegten Antragsunterlagen, eigener Ermittlungen und der für die Entscheidung maßgeblichen Rechts- und Verwaltungsvorschriften vorgenommen, um die überschlägige Vorausschau und die Prüfinhalte erheblicher negativer Umweltauswirkungen abzuschätzen. </w:t>
      </w:r>
    </w:p>
    <w:p w:rsidR="000B38D0" w:rsidRDefault="000B38D0" w:rsidP="000B38D0">
      <w:pPr>
        <w:jc w:val="both"/>
      </w:pPr>
    </w:p>
    <w:p w:rsidR="00066347" w:rsidRDefault="00066347" w:rsidP="00066347">
      <w:pPr>
        <w:jc w:val="both"/>
      </w:pPr>
      <w:r w:rsidRPr="00066347">
        <w:t xml:space="preserve">Die Prüfung hat ergeben, dass die zusätzlichen Umweltauswirkungen durch Geräusch- und Schattenwurfimmissionen das gesetzliche Maß einhalten. Die beigefügten Gutachten belegen die Einhaltung der Immissionsrichtwerde an den nächstgelegenen </w:t>
      </w:r>
      <w:proofErr w:type="spellStart"/>
      <w:r w:rsidRPr="00066347">
        <w:t>Immissionsauf</w:t>
      </w:r>
      <w:r w:rsidR="008B4568">
        <w:t>punkten</w:t>
      </w:r>
      <w:proofErr w:type="spellEnd"/>
      <w:r w:rsidR="008B4568">
        <w:t>. Somit wirken sich die 7</w:t>
      </w:r>
      <w:r w:rsidRPr="00066347">
        <w:t xml:space="preserve"> Anlagenstandorte nicht erheblich negativ aus.</w:t>
      </w:r>
    </w:p>
    <w:p w:rsidR="00066347" w:rsidRDefault="00066347" w:rsidP="000B38D0">
      <w:pPr>
        <w:jc w:val="both"/>
      </w:pPr>
    </w:p>
    <w:p w:rsidR="000B38D0" w:rsidRDefault="000B38D0" w:rsidP="000B38D0">
      <w:pPr>
        <w:jc w:val="both"/>
      </w:pPr>
      <w:r>
        <w:t xml:space="preserve">Nach § 9 Abs. 1 a BImSchG entfällt die Prüfung auf ein pos. Gesamturteil, sog. unüberwindbare Hindernisse. Die Vorprüfung des Einzelfalls beschränkt sich auf den o. g. Antragsgegenstand. 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 xml:space="preserve">Es ergeben sich keine Anhaltspunkte, dass erhebliche nachteilige Umweltauswirkungen zu besorgen sind, welche das gesetzliche Maß (Zumutbarkeitsschwelle) überschreiten. 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 xml:space="preserve">Im Ergebnis besteht somit keine Verpflichtung zur Durchführung einer Umweltverträglichkeitsprüfung, weil durch den Antragsgegenstand und den damit verbundenen standort-/anlagenbedingten Auswirkungen offensichtlich keine erheblichen negativen Umweltauswirkungen zu besorgen sind. 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 xml:space="preserve">Das beantragte Vorhaben bedarf daher keiner Umweltverträglichkeitsprüfung nach den Vorschriften des UVPG. 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</w:pPr>
      <w:r>
        <w:t xml:space="preserve">Die gem. § 5 Abs. 2 erforderliche Information der Öffentlichkeit erfolgt mit dieser Bekanntmachung. </w:t>
      </w:r>
    </w:p>
    <w:p w:rsidR="000B38D0" w:rsidRDefault="000B38D0" w:rsidP="000B38D0">
      <w:pPr>
        <w:jc w:val="both"/>
      </w:pPr>
    </w:p>
    <w:p w:rsidR="000B38D0" w:rsidRDefault="000B38D0" w:rsidP="000B38D0">
      <w:pPr>
        <w:jc w:val="both"/>
        <w:rPr>
          <w:color w:val="000000"/>
        </w:rPr>
      </w:pPr>
      <w:r>
        <w:t xml:space="preserve">Diese </w:t>
      </w:r>
      <w:r>
        <w:rPr>
          <w:color w:val="000000"/>
        </w:rPr>
        <w:t xml:space="preserve">Feststellung ist nicht selbständig anfechtbar (§ 5 Abs. 3 UVPG). </w:t>
      </w:r>
    </w:p>
    <w:p w:rsidR="000B38D0" w:rsidRDefault="000B38D0" w:rsidP="000B38D0"/>
    <w:p w:rsidR="000B38D0" w:rsidRDefault="000B38D0" w:rsidP="000B38D0">
      <w:r>
        <w:t xml:space="preserve">Brilon, </w:t>
      </w:r>
      <w:bookmarkStart w:id="0" w:name="PLH_Schreibdatum_237d4ab7b23a11efa03e84a"/>
      <w:r>
        <w:t>18.12.2024</w:t>
      </w:r>
      <w:bookmarkEnd w:id="0"/>
    </w:p>
    <w:p w:rsidR="000B38D0" w:rsidRDefault="000B38D0" w:rsidP="000B38D0"/>
    <w:p w:rsidR="000B38D0" w:rsidRDefault="000B38D0" w:rsidP="000B38D0">
      <w:r>
        <w:t>Hochsauerlandkreis</w:t>
      </w:r>
    </w:p>
    <w:p w:rsidR="000B38D0" w:rsidRDefault="000B38D0" w:rsidP="000B38D0">
      <w:r>
        <w:t>Der Landrat</w:t>
      </w:r>
    </w:p>
    <w:p w:rsidR="000B38D0" w:rsidRDefault="000B38D0" w:rsidP="000B38D0">
      <w:r>
        <w:t>Untere Umweltschutzbehörde/Immissionsschutz</w:t>
      </w:r>
    </w:p>
    <w:p w:rsidR="000B38D0" w:rsidRDefault="000B38D0" w:rsidP="000B38D0">
      <w:r>
        <w:t>42.</w:t>
      </w:r>
      <w:r w:rsidR="00066347">
        <w:t>40548</w:t>
      </w:r>
      <w:r>
        <w:t>-2024-04</w:t>
      </w:r>
    </w:p>
    <w:p w:rsidR="000B38D0" w:rsidRDefault="000B38D0" w:rsidP="000B38D0"/>
    <w:p w:rsidR="000B38D0" w:rsidRDefault="000B38D0" w:rsidP="000B38D0">
      <w:r>
        <w:t>Im Auftrag</w:t>
      </w:r>
    </w:p>
    <w:p w:rsidR="000B38D0" w:rsidRDefault="00AC2D2D" w:rsidP="000B38D0">
      <w:r>
        <w:t xml:space="preserve">gez. </w:t>
      </w:r>
      <w:r w:rsidR="000B38D0">
        <w:t>Kraft</w:t>
      </w:r>
    </w:p>
    <w:p w:rsidR="000B38D0" w:rsidRDefault="000B38D0" w:rsidP="000B38D0">
      <w:bookmarkStart w:id="1" w:name="_GoBack"/>
      <w:bookmarkEnd w:id="1"/>
    </w:p>
    <w:sectPr w:rsidR="000B38D0" w:rsidSect="004C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567" w:right="1440" w:bottom="567" w:left="1440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DE" w:rsidRDefault="00CD47DE" w:rsidP="00443CB0">
      <w:r>
        <w:separator/>
      </w:r>
    </w:p>
  </w:endnote>
  <w:endnote w:type="continuationSeparator" w:id="0">
    <w:p w:rsidR="00CD47DE" w:rsidRDefault="00CD47DE" w:rsidP="004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7" w:rsidRDefault="005844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7" w:rsidRDefault="005844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7" w:rsidRDefault="005844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DE" w:rsidRDefault="00CD47DE" w:rsidP="00443CB0">
      <w:r>
        <w:separator/>
      </w:r>
    </w:p>
  </w:footnote>
  <w:footnote w:type="continuationSeparator" w:id="0">
    <w:p w:rsidR="00CD47DE" w:rsidRDefault="00CD47DE" w:rsidP="004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7" w:rsidRDefault="005844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B0" w:rsidRDefault="00C645C4">
    <w:pPr>
      <w:pStyle w:val="Kopfzeile"/>
      <w:tabs>
        <w:tab w:val="clear" w:pos="9072"/>
        <w:tab w:val="right" w:pos="9639"/>
      </w:tabs>
      <w:ind w:right="8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-5080</wp:posOffset>
              </wp:positionV>
              <wp:extent cx="609600" cy="228600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CB0" w:rsidRDefault="00443CB0">
                          <w:r>
                            <w:rPr>
                              <w:rStyle w:val="Seitenzahl"/>
                            </w:rPr>
                            <w:t xml:space="preserve">Seite </w:t>
                          </w:r>
                          <w:r w:rsidR="00CC4465"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="00CC4465">
                            <w:rPr>
                              <w:rStyle w:val="Seitenzahl"/>
                            </w:rPr>
                            <w:fldChar w:fldCharType="separate"/>
                          </w:r>
                          <w:r w:rsidR="00AC2D2D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 w:rsidR="00CC4465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95pt;margin-top:-.4pt;width:4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g/fg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" stroked="f">
              <v:textbox>
                <w:txbxContent>
                  <w:p w:rsidR="00443CB0" w:rsidRDefault="00443CB0">
                    <w:r>
                      <w:rPr>
                        <w:rStyle w:val="Seitenzahl"/>
                      </w:rPr>
                      <w:t xml:space="preserve">Seite </w:t>
                    </w:r>
                    <w:r w:rsidR="00CC4465"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 w:rsidR="00CC4465">
                      <w:rPr>
                        <w:rStyle w:val="Seitenzahl"/>
                      </w:rPr>
                      <w:fldChar w:fldCharType="separate"/>
                    </w:r>
                    <w:r w:rsidR="00AC2D2D">
                      <w:rPr>
                        <w:rStyle w:val="Seitenzahl"/>
                        <w:noProof/>
                      </w:rPr>
                      <w:t>2</w:t>
                    </w:r>
                    <w:r w:rsidR="00CC4465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Start w:id="2" w:name="PLH_Schreibdatum_26a7ff39b2e111efa03f84a"/>
    <w:r w:rsidR="000B38D0">
      <w:t>18</w:t>
    </w:r>
    <w:r w:rsidR="00CB0496">
      <w:t>.12.2024</w:t>
    </w:r>
    <w:bookmarkEnd w:id="2"/>
  </w:p>
  <w:p w:rsidR="00443CB0" w:rsidRDefault="00CB0496">
    <w:pPr>
      <w:pStyle w:val="Kopfzeile"/>
      <w:tabs>
        <w:tab w:val="clear" w:pos="9072"/>
        <w:tab w:val="right" w:pos="9639"/>
      </w:tabs>
      <w:ind w:right="89"/>
      <w:jc w:val="right"/>
    </w:pPr>
    <w:r>
      <w:t>40548-</w:t>
    </w:r>
    <w:r w:rsidR="0045228F">
      <w:t>2</w:t>
    </w:r>
    <w:r w:rsidR="005844A7">
      <w:t>0</w:t>
    </w:r>
    <w:r>
      <w:t>24-04</w:t>
    </w:r>
  </w:p>
  <w:p w:rsidR="00443CB0" w:rsidRDefault="00C645C4">
    <w:pPr>
      <w:pStyle w:val="Kopfzeile"/>
      <w:tabs>
        <w:tab w:val="clear" w:pos="9072"/>
        <w:tab w:val="right" w:pos="9639"/>
        <w:tab w:val="right" w:pos="97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1270</wp:posOffset>
              </wp:positionV>
              <wp:extent cx="5715000" cy="0"/>
              <wp:effectExtent l="13335" t="10795" r="5715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FA0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7" w:rsidRDefault="005844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E"/>
    <w:rsid w:val="00066347"/>
    <w:rsid w:val="000B38D0"/>
    <w:rsid w:val="00443CB0"/>
    <w:rsid w:val="0045228F"/>
    <w:rsid w:val="00487C1C"/>
    <w:rsid w:val="004C6E20"/>
    <w:rsid w:val="00536070"/>
    <w:rsid w:val="00572793"/>
    <w:rsid w:val="005844A7"/>
    <w:rsid w:val="0064151E"/>
    <w:rsid w:val="007C230B"/>
    <w:rsid w:val="008B4568"/>
    <w:rsid w:val="00A6510B"/>
    <w:rsid w:val="00AC2D2D"/>
    <w:rsid w:val="00C645C4"/>
    <w:rsid w:val="00CB0496"/>
    <w:rsid w:val="00CC4465"/>
    <w:rsid w:val="00CD47DE"/>
    <w:rsid w:val="00D75D92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37FBA0"/>
  <w15:docId w15:val="{2D1410F2-7D54-4CA7-8FB4-93D6F805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CC4465"/>
  </w:style>
  <w:style w:type="paragraph" w:styleId="Kopfzeile">
    <w:name w:val="header"/>
    <w:basedOn w:val="Standard"/>
    <w:semiHidden/>
    <w:rsid w:val="00CC44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C44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C4465"/>
  </w:style>
  <w:style w:type="table" w:styleId="Tabellenraster">
    <w:name w:val="Table Grid"/>
    <w:basedOn w:val="NormaleTabelle"/>
    <w:uiPriority w:val="59"/>
    <w:rsid w:val="00D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E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Hochsauerlandkreis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Azubi1 BA42A</dc:creator>
  <cp:keywords/>
  <dc:description/>
  <cp:lastModifiedBy>Karin Kraft</cp:lastModifiedBy>
  <cp:revision>3</cp:revision>
  <cp:lastPrinted>2024-12-16T15:20:00Z</cp:lastPrinted>
  <dcterms:created xsi:type="dcterms:W3CDTF">2024-12-16T15:21:00Z</dcterms:created>
  <dcterms:modified xsi:type="dcterms:W3CDTF">2024-12-16T15:21:00Z</dcterms:modified>
</cp:coreProperties>
</file>