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DB6CB" w14:textId="1C0E516C" w:rsidR="005A2273" w:rsidRPr="005A2273" w:rsidRDefault="005A2273" w:rsidP="00E0638A">
      <w:pPr>
        <w:spacing w:before="0" w:beforeAutospacing="0" w:after="0" w:afterAutospacing="0"/>
        <w:ind w:right="-567"/>
        <w:rPr>
          <w:sz w:val="22"/>
          <w:szCs w:val="22"/>
        </w:rPr>
      </w:pPr>
      <w:r w:rsidRPr="005A2273">
        <w:rPr>
          <w:sz w:val="22"/>
          <w:szCs w:val="22"/>
        </w:rPr>
        <w:t>Der Landrat</w:t>
      </w:r>
      <w:r w:rsidRPr="005A2273">
        <w:rPr>
          <w:sz w:val="22"/>
          <w:szCs w:val="22"/>
        </w:rPr>
        <w:tab/>
      </w:r>
      <w:r w:rsidRPr="005A2273">
        <w:rPr>
          <w:sz w:val="22"/>
          <w:szCs w:val="22"/>
        </w:rPr>
        <w:tab/>
      </w:r>
      <w:r w:rsidRPr="005A2273">
        <w:rPr>
          <w:sz w:val="22"/>
          <w:szCs w:val="22"/>
        </w:rPr>
        <w:tab/>
      </w:r>
      <w:r w:rsidRPr="005A2273">
        <w:rPr>
          <w:sz w:val="22"/>
          <w:szCs w:val="22"/>
        </w:rPr>
        <w:tab/>
      </w:r>
      <w:r w:rsidRPr="005A2273">
        <w:rPr>
          <w:sz w:val="22"/>
          <w:szCs w:val="22"/>
        </w:rPr>
        <w:tab/>
      </w:r>
      <w:r w:rsidRPr="005A2273">
        <w:rPr>
          <w:sz w:val="22"/>
          <w:szCs w:val="22"/>
        </w:rPr>
        <w:tab/>
      </w:r>
      <w:r w:rsidRPr="005A2273">
        <w:rPr>
          <w:sz w:val="22"/>
          <w:szCs w:val="22"/>
        </w:rPr>
        <w:tab/>
      </w:r>
      <w:r w:rsidRPr="005A2273">
        <w:rPr>
          <w:sz w:val="22"/>
          <w:szCs w:val="22"/>
        </w:rPr>
        <w:tab/>
      </w:r>
      <w:r w:rsidR="00E0638A">
        <w:rPr>
          <w:sz w:val="22"/>
          <w:szCs w:val="22"/>
        </w:rPr>
        <w:t xml:space="preserve">                </w:t>
      </w:r>
      <w:r w:rsidRPr="005A2273">
        <w:rPr>
          <w:sz w:val="22"/>
          <w:szCs w:val="22"/>
        </w:rPr>
        <w:t xml:space="preserve">Heinsberg, den </w:t>
      </w:r>
      <w:r w:rsidR="0045457F">
        <w:rPr>
          <w:sz w:val="22"/>
          <w:szCs w:val="22"/>
        </w:rPr>
        <w:t>xx</w:t>
      </w:r>
      <w:r w:rsidRPr="005A2273">
        <w:rPr>
          <w:sz w:val="22"/>
          <w:szCs w:val="22"/>
        </w:rPr>
        <w:t>.</w:t>
      </w:r>
      <w:r w:rsidR="0045457F">
        <w:rPr>
          <w:sz w:val="22"/>
          <w:szCs w:val="22"/>
        </w:rPr>
        <w:t>xx</w:t>
      </w:r>
      <w:r w:rsidRPr="005A2273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45457F">
        <w:rPr>
          <w:sz w:val="22"/>
          <w:szCs w:val="22"/>
        </w:rPr>
        <w:t>x</w:t>
      </w:r>
    </w:p>
    <w:p w14:paraId="4FEA7B56" w14:textId="77777777" w:rsidR="005A2273" w:rsidRPr="005A2273" w:rsidRDefault="005A2273" w:rsidP="00E0638A">
      <w:pPr>
        <w:spacing w:before="0" w:beforeAutospacing="0" w:after="0" w:afterAutospacing="0"/>
        <w:ind w:right="-567"/>
        <w:rPr>
          <w:sz w:val="22"/>
          <w:szCs w:val="22"/>
        </w:rPr>
      </w:pPr>
      <w:r w:rsidRPr="005A2273">
        <w:rPr>
          <w:sz w:val="22"/>
          <w:szCs w:val="22"/>
        </w:rPr>
        <w:t>Amt für Umwelt und Verkehrsplanung</w:t>
      </w:r>
    </w:p>
    <w:p w14:paraId="718A7A2A" w14:textId="77777777" w:rsidR="005A2273" w:rsidRPr="005A2273" w:rsidRDefault="005A2273" w:rsidP="00E0638A">
      <w:pPr>
        <w:spacing w:before="0" w:beforeAutospacing="0" w:after="0" w:afterAutospacing="0"/>
        <w:ind w:right="-567"/>
        <w:rPr>
          <w:sz w:val="22"/>
          <w:szCs w:val="22"/>
        </w:rPr>
      </w:pPr>
      <w:r w:rsidRPr="005A2273">
        <w:rPr>
          <w:sz w:val="22"/>
          <w:szCs w:val="22"/>
        </w:rPr>
        <w:t>-Abgrabungsbehörde-</w:t>
      </w:r>
    </w:p>
    <w:p w14:paraId="687D9AFC" w14:textId="148700AD" w:rsidR="005A2273" w:rsidRPr="005A2273" w:rsidRDefault="005A2273" w:rsidP="00E0638A">
      <w:pPr>
        <w:spacing w:before="0" w:beforeAutospacing="0" w:after="0" w:afterAutospacing="0"/>
        <w:ind w:right="-567"/>
        <w:rPr>
          <w:sz w:val="22"/>
          <w:szCs w:val="22"/>
          <w:u w:val="single"/>
        </w:rPr>
      </w:pPr>
      <w:r w:rsidRPr="005A2273">
        <w:rPr>
          <w:sz w:val="22"/>
          <w:szCs w:val="22"/>
          <w:u w:val="single"/>
        </w:rPr>
        <w:t>70 80 45</w:t>
      </w:r>
      <w:r w:rsidR="003D6655">
        <w:rPr>
          <w:sz w:val="22"/>
          <w:szCs w:val="22"/>
          <w:u w:val="single"/>
        </w:rPr>
        <w:t xml:space="preserve"> / Br</w:t>
      </w:r>
    </w:p>
    <w:p w14:paraId="2FB165E0" w14:textId="77777777" w:rsidR="005A2273" w:rsidRPr="005A2273" w:rsidRDefault="005A2273" w:rsidP="00A9701C">
      <w:pPr>
        <w:ind w:right="-567"/>
        <w:rPr>
          <w:sz w:val="22"/>
          <w:szCs w:val="22"/>
          <w:u w:val="single"/>
        </w:rPr>
      </w:pPr>
      <w:r w:rsidRPr="005A2273">
        <w:rPr>
          <w:sz w:val="22"/>
          <w:szCs w:val="22"/>
          <w:u w:val="single"/>
        </w:rPr>
        <w:t xml:space="preserve"> </w:t>
      </w:r>
    </w:p>
    <w:p w14:paraId="439DFBFF" w14:textId="37CA5E86" w:rsidR="005A2273" w:rsidRPr="00ED49E5" w:rsidRDefault="00ED49E5" w:rsidP="00ED49E5">
      <w:pPr>
        <w:ind w:right="-567"/>
        <w:jc w:val="center"/>
        <w:rPr>
          <w:b/>
          <w:sz w:val="28"/>
          <w:szCs w:val="28"/>
          <w:u w:val="single"/>
        </w:rPr>
      </w:pPr>
      <w:r w:rsidRPr="00ED49E5">
        <w:rPr>
          <w:b/>
          <w:sz w:val="28"/>
          <w:szCs w:val="28"/>
          <w:u w:val="single"/>
        </w:rPr>
        <w:t>Bekanntgabe</w:t>
      </w:r>
    </w:p>
    <w:p w14:paraId="1D2768AC" w14:textId="775956A4" w:rsidR="00F949B2" w:rsidRPr="00F949B2" w:rsidRDefault="00F949B2" w:rsidP="00F949B2">
      <w:pPr>
        <w:widowControl w:val="0"/>
        <w:tabs>
          <w:tab w:val="left" w:pos="0"/>
          <w:tab w:val="left" w:pos="1110"/>
          <w:tab w:val="left" w:pos="5929"/>
          <w:tab w:val="left" w:pos="7920"/>
          <w:tab w:val="left" w:pos="10080"/>
        </w:tabs>
        <w:spacing w:before="0" w:beforeAutospacing="0" w:after="0" w:afterAutospacing="0"/>
        <w:ind w:right="-428"/>
        <w:rPr>
          <w:rFonts w:ascii="Arial" w:eastAsia="Times New Roman" w:hAnsi="Arial"/>
          <w:b/>
          <w:snapToGrid w:val="0"/>
          <w:sz w:val="22"/>
          <w:szCs w:val="22"/>
          <w:lang w:eastAsia="de-DE"/>
        </w:rPr>
      </w:pPr>
      <w:bookmarkStart w:id="0" w:name="_Hlk172102689"/>
      <w:r w:rsidRPr="00F949B2">
        <w:rPr>
          <w:rFonts w:ascii="Arial" w:eastAsia="Times New Roman" w:hAnsi="Arial"/>
          <w:b/>
          <w:snapToGrid w:val="0"/>
          <w:sz w:val="22"/>
          <w:szCs w:val="22"/>
          <w:lang w:eastAsia="de-DE"/>
        </w:rPr>
        <w:t>Abgrabung gem. § 3 Abgrabungsgesetz in der Stadt Erkelenz, Gemarkung Erkelenz, Flur 16, Flurstücke 27, 31, 32, 46, 66 und 75</w:t>
      </w:r>
      <w:r>
        <w:rPr>
          <w:rFonts w:ascii="Arial" w:eastAsia="Times New Roman" w:hAnsi="Arial"/>
          <w:b/>
          <w:snapToGrid w:val="0"/>
          <w:sz w:val="22"/>
          <w:szCs w:val="22"/>
          <w:lang w:eastAsia="de-DE"/>
        </w:rPr>
        <w:t xml:space="preserve"> der </w:t>
      </w:r>
      <w:r w:rsidRPr="00F949B2">
        <w:rPr>
          <w:rFonts w:ascii="Arial" w:eastAsia="Times New Roman" w:hAnsi="Arial"/>
          <w:b/>
          <w:snapToGrid w:val="0"/>
          <w:sz w:val="22"/>
          <w:szCs w:val="22"/>
          <w:lang w:eastAsia="de-DE"/>
        </w:rPr>
        <w:t xml:space="preserve">Firma </w:t>
      </w:r>
      <w:bookmarkStart w:id="1" w:name="_Hlk180045714"/>
      <w:r w:rsidRPr="00F949B2">
        <w:rPr>
          <w:rFonts w:ascii="Arial" w:eastAsia="Times New Roman" w:hAnsi="Arial"/>
          <w:b/>
          <w:snapToGrid w:val="0"/>
          <w:sz w:val="22"/>
          <w:szCs w:val="22"/>
          <w:lang w:eastAsia="de-DE"/>
        </w:rPr>
        <w:t>Gillrath Ziegel- und</w:t>
      </w:r>
      <w:r>
        <w:rPr>
          <w:rFonts w:ascii="Arial" w:eastAsia="Times New Roman" w:hAnsi="Arial"/>
          <w:b/>
          <w:snapToGrid w:val="0"/>
          <w:sz w:val="22"/>
          <w:szCs w:val="22"/>
          <w:lang w:eastAsia="de-DE"/>
        </w:rPr>
        <w:t xml:space="preserve"> </w:t>
      </w:r>
      <w:r w:rsidRPr="00F949B2">
        <w:rPr>
          <w:rFonts w:ascii="Arial" w:eastAsia="Times New Roman" w:hAnsi="Arial"/>
          <w:b/>
          <w:snapToGrid w:val="0"/>
          <w:sz w:val="22"/>
          <w:szCs w:val="22"/>
          <w:lang w:eastAsia="de-DE"/>
        </w:rPr>
        <w:t>Klinkerwerk GmbH und Co. KG</w:t>
      </w:r>
      <w:r>
        <w:rPr>
          <w:rFonts w:ascii="Arial" w:eastAsia="Times New Roman" w:hAnsi="Arial"/>
          <w:b/>
          <w:snapToGrid w:val="0"/>
          <w:sz w:val="22"/>
          <w:szCs w:val="22"/>
          <w:lang w:eastAsia="de-DE"/>
        </w:rPr>
        <w:t xml:space="preserve">, </w:t>
      </w:r>
      <w:proofErr w:type="spellStart"/>
      <w:r w:rsidRPr="00F949B2">
        <w:rPr>
          <w:rFonts w:ascii="Arial" w:eastAsia="Times New Roman" w:hAnsi="Arial"/>
          <w:b/>
          <w:snapToGrid w:val="0"/>
          <w:sz w:val="22"/>
          <w:szCs w:val="22"/>
          <w:lang w:eastAsia="de-DE"/>
        </w:rPr>
        <w:t>Wockerather</w:t>
      </w:r>
      <w:proofErr w:type="spellEnd"/>
      <w:r w:rsidRPr="00F949B2">
        <w:rPr>
          <w:rFonts w:ascii="Arial" w:eastAsia="Times New Roman" w:hAnsi="Arial"/>
          <w:b/>
          <w:snapToGrid w:val="0"/>
          <w:sz w:val="22"/>
          <w:szCs w:val="22"/>
          <w:lang w:eastAsia="de-DE"/>
        </w:rPr>
        <w:t xml:space="preserve"> Weg 38</w:t>
      </w:r>
      <w:r>
        <w:rPr>
          <w:rFonts w:ascii="Arial" w:eastAsia="Times New Roman" w:hAnsi="Arial"/>
          <w:b/>
          <w:snapToGrid w:val="0"/>
          <w:sz w:val="22"/>
          <w:szCs w:val="22"/>
          <w:lang w:eastAsia="de-DE"/>
        </w:rPr>
        <w:t xml:space="preserve">, </w:t>
      </w:r>
      <w:r w:rsidRPr="00F949B2">
        <w:rPr>
          <w:rFonts w:ascii="Arial" w:eastAsia="Times New Roman" w:hAnsi="Arial"/>
          <w:b/>
          <w:snapToGrid w:val="0"/>
          <w:sz w:val="22"/>
          <w:szCs w:val="22"/>
          <w:lang w:eastAsia="de-DE"/>
        </w:rPr>
        <w:t>41812 Erkelenz</w:t>
      </w:r>
    </w:p>
    <w:bookmarkEnd w:id="0"/>
    <w:bookmarkEnd w:id="1"/>
    <w:p w14:paraId="6BE88365" w14:textId="051302C5" w:rsidR="003D6655" w:rsidRPr="00BB107A" w:rsidRDefault="003D6655" w:rsidP="00694A1B">
      <w:pPr>
        <w:tabs>
          <w:tab w:val="left" w:pos="-453"/>
          <w:tab w:val="left" w:pos="0"/>
          <w:tab w:val="left" w:pos="226"/>
          <w:tab w:val="left" w:pos="793"/>
          <w:tab w:val="left" w:pos="1110"/>
          <w:tab w:val="left" w:pos="1870"/>
          <w:tab w:val="left" w:pos="2721"/>
          <w:tab w:val="left" w:pos="3685"/>
          <w:tab w:val="left" w:pos="4648"/>
          <w:tab w:val="left" w:pos="5272"/>
          <w:tab w:val="left" w:pos="5929"/>
          <w:tab w:val="left" w:pos="6916"/>
          <w:tab w:val="left" w:pos="7920"/>
          <w:tab w:val="left" w:pos="8844"/>
        </w:tabs>
        <w:rPr>
          <w:b/>
          <w:sz w:val="22"/>
          <w:szCs w:val="22"/>
        </w:rPr>
      </w:pPr>
      <w:r w:rsidRPr="00BB107A">
        <w:rPr>
          <w:b/>
          <w:sz w:val="22"/>
          <w:szCs w:val="22"/>
        </w:rPr>
        <w:t xml:space="preserve">Allgemeine Vorprüfung des Einzelfalls nach § 9 Abs. </w:t>
      </w:r>
      <w:r w:rsidR="00694A1B">
        <w:rPr>
          <w:b/>
          <w:sz w:val="22"/>
          <w:szCs w:val="22"/>
        </w:rPr>
        <w:t>2</w:t>
      </w:r>
      <w:r w:rsidRPr="00BB107A">
        <w:rPr>
          <w:b/>
          <w:sz w:val="22"/>
          <w:szCs w:val="22"/>
        </w:rPr>
        <w:t xml:space="preserve"> Nr. 2 des Gesetzes über die Umweltverträglichkeitsprüfung (UVPG) </w:t>
      </w:r>
    </w:p>
    <w:p w14:paraId="0ACCE5BE" w14:textId="1290E23E" w:rsidR="003D6655" w:rsidRDefault="003D6655" w:rsidP="003D6655">
      <w:pPr>
        <w:widowControl w:val="0"/>
        <w:tabs>
          <w:tab w:val="left" w:pos="0"/>
          <w:tab w:val="left" w:pos="1110"/>
          <w:tab w:val="left" w:pos="5929"/>
          <w:tab w:val="left" w:pos="7920"/>
          <w:tab w:val="left" w:pos="10080"/>
        </w:tabs>
        <w:spacing w:before="0" w:beforeAutospacing="0" w:after="0" w:afterAutospacing="0"/>
        <w:ind w:right="-428"/>
        <w:rPr>
          <w:rFonts w:ascii="Arial" w:eastAsia="Times New Roman" w:hAnsi="Arial"/>
          <w:bCs/>
          <w:snapToGrid w:val="0"/>
          <w:sz w:val="22"/>
          <w:szCs w:val="22"/>
          <w:lang w:eastAsia="de-DE"/>
        </w:rPr>
      </w:pPr>
      <w:r>
        <w:rPr>
          <w:rFonts w:eastAsia="Times New Roman"/>
          <w:snapToGrid w:val="0"/>
          <w:sz w:val="22"/>
          <w:szCs w:val="22"/>
          <w:lang w:eastAsia="de-DE"/>
        </w:rPr>
        <w:t xml:space="preserve">Die Firma </w:t>
      </w:r>
      <w:r w:rsidRPr="003D6655">
        <w:rPr>
          <w:rFonts w:ascii="Arial" w:eastAsia="Times New Roman" w:hAnsi="Arial"/>
          <w:bCs/>
          <w:snapToGrid w:val="0"/>
          <w:sz w:val="22"/>
          <w:szCs w:val="22"/>
          <w:lang w:eastAsia="de-DE"/>
        </w:rPr>
        <w:t xml:space="preserve">Gillrath Ziegel- und Klinkerwerk GmbH und Co. KG, </w:t>
      </w:r>
      <w:proofErr w:type="spellStart"/>
      <w:r w:rsidRPr="003D6655">
        <w:rPr>
          <w:rFonts w:ascii="Arial" w:eastAsia="Times New Roman" w:hAnsi="Arial"/>
          <w:bCs/>
          <w:snapToGrid w:val="0"/>
          <w:sz w:val="22"/>
          <w:szCs w:val="22"/>
          <w:lang w:eastAsia="de-DE"/>
        </w:rPr>
        <w:t>Wockerather</w:t>
      </w:r>
      <w:proofErr w:type="spellEnd"/>
      <w:r w:rsidRPr="003D6655">
        <w:rPr>
          <w:rFonts w:ascii="Arial" w:eastAsia="Times New Roman" w:hAnsi="Arial"/>
          <w:bCs/>
          <w:snapToGrid w:val="0"/>
          <w:sz w:val="22"/>
          <w:szCs w:val="22"/>
          <w:lang w:eastAsia="de-DE"/>
        </w:rPr>
        <w:t xml:space="preserve"> Weg 38, 41812 Erkelenz</w:t>
      </w:r>
      <w:r>
        <w:rPr>
          <w:rFonts w:ascii="Arial" w:eastAsia="Times New Roman" w:hAnsi="Arial"/>
          <w:bCs/>
          <w:snapToGrid w:val="0"/>
          <w:sz w:val="22"/>
          <w:szCs w:val="22"/>
          <w:lang w:eastAsia="de-DE"/>
        </w:rPr>
        <w:t xml:space="preserve"> betreibt eine Abgrabung zur Gewinnung</w:t>
      </w:r>
      <w:r w:rsidR="00701BF6">
        <w:rPr>
          <w:rFonts w:ascii="Arial" w:eastAsia="Times New Roman" w:hAnsi="Arial"/>
          <w:bCs/>
          <w:snapToGrid w:val="0"/>
          <w:sz w:val="22"/>
          <w:szCs w:val="22"/>
          <w:lang w:eastAsia="de-DE"/>
        </w:rPr>
        <w:t xml:space="preserve"> von Ton, Lehm und Kiessand.</w:t>
      </w:r>
    </w:p>
    <w:p w14:paraId="1D739608" w14:textId="36C37243" w:rsidR="00ED49E5" w:rsidRPr="003D6655" w:rsidRDefault="009F021E" w:rsidP="003D6655">
      <w:pPr>
        <w:widowControl w:val="0"/>
        <w:tabs>
          <w:tab w:val="left" w:pos="0"/>
          <w:tab w:val="left" w:pos="1110"/>
          <w:tab w:val="left" w:pos="5929"/>
          <w:tab w:val="left" w:pos="7920"/>
          <w:tab w:val="left" w:pos="10080"/>
        </w:tabs>
        <w:spacing w:before="0" w:beforeAutospacing="0" w:after="0" w:afterAutospacing="0"/>
        <w:ind w:right="-428"/>
        <w:rPr>
          <w:rFonts w:ascii="Arial" w:eastAsia="Times New Roman" w:hAnsi="Arial"/>
          <w:bCs/>
          <w:snapToGrid w:val="0"/>
          <w:sz w:val="22"/>
          <w:szCs w:val="22"/>
          <w:lang w:eastAsia="de-DE"/>
        </w:rPr>
      </w:pPr>
      <w:r>
        <w:rPr>
          <w:rFonts w:ascii="Arial" w:eastAsia="Times New Roman" w:hAnsi="Arial"/>
          <w:bCs/>
          <w:snapToGrid w:val="0"/>
          <w:sz w:val="22"/>
          <w:szCs w:val="22"/>
          <w:lang w:eastAsia="de-DE"/>
        </w:rPr>
        <w:t xml:space="preserve">Am 28.06.2022 </w:t>
      </w:r>
      <w:r w:rsidR="00ED49E5">
        <w:rPr>
          <w:rFonts w:ascii="Arial" w:eastAsia="Times New Roman" w:hAnsi="Arial"/>
          <w:bCs/>
          <w:snapToGrid w:val="0"/>
          <w:sz w:val="22"/>
          <w:szCs w:val="22"/>
          <w:lang w:eastAsia="de-DE"/>
        </w:rPr>
        <w:t xml:space="preserve">wurde die Änderung der Genehmigung vom </w:t>
      </w:r>
      <w:r w:rsidR="00ED49E5" w:rsidRPr="00ED49E5">
        <w:rPr>
          <w:rFonts w:eastAsia="Times New Roman"/>
          <w:bCs/>
          <w:snapToGrid w:val="0"/>
          <w:sz w:val="22"/>
          <w:szCs w:val="22"/>
          <w:lang w:eastAsia="de-DE"/>
        </w:rPr>
        <w:t>21.06.2006</w:t>
      </w:r>
      <w:r w:rsidR="00ED49E5">
        <w:rPr>
          <w:rFonts w:eastAsia="Times New Roman"/>
          <w:bCs/>
          <w:snapToGrid w:val="0"/>
          <w:sz w:val="22"/>
          <w:szCs w:val="22"/>
          <w:lang w:eastAsia="de-DE"/>
        </w:rPr>
        <w:t xml:space="preserve"> in der zurzeit gültigen Fassung beantragt.</w:t>
      </w:r>
    </w:p>
    <w:p w14:paraId="01428AF2" w14:textId="71965721" w:rsidR="005A2273" w:rsidRPr="003D6655" w:rsidRDefault="005A2273" w:rsidP="00E0638A">
      <w:pPr>
        <w:widowControl w:val="0"/>
        <w:spacing w:before="0" w:beforeAutospacing="0" w:after="0" w:afterAutospacing="0"/>
        <w:ind w:right="-567"/>
        <w:rPr>
          <w:rFonts w:eastAsia="Times New Roman"/>
          <w:bCs/>
          <w:snapToGrid w:val="0"/>
          <w:sz w:val="22"/>
          <w:szCs w:val="22"/>
          <w:lang w:eastAsia="de-DE"/>
        </w:rPr>
      </w:pPr>
    </w:p>
    <w:p w14:paraId="4ACAB950" w14:textId="77777777" w:rsidR="00F949B2" w:rsidRPr="00ED49E5" w:rsidRDefault="00F949B2" w:rsidP="00F949B2">
      <w:pPr>
        <w:widowControl w:val="0"/>
        <w:tabs>
          <w:tab w:val="left" w:pos="0"/>
          <w:tab w:val="left" w:pos="1110"/>
          <w:tab w:val="left" w:pos="5929"/>
          <w:tab w:val="left" w:pos="7920"/>
          <w:tab w:val="left" w:pos="10080"/>
        </w:tabs>
        <w:spacing w:before="0" w:beforeAutospacing="0" w:after="0" w:afterAutospacing="0"/>
        <w:ind w:right="-567"/>
        <w:rPr>
          <w:rFonts w:eastAsia="Times New Roman"/>
          <w:snapToGrid w:val="0"/>
          <w:sz w:val="22"/>
          <w:szCs w:val="22"/>
          <w:lang w:eastAsia="de-DE"/>
        </w:rPr>
      </w:pPr>
      <w:r w:rsidRPr="00ED49E5">
        <w:rPr>
          <w:rFonts w:eastAsia="Times New Roman"/>
          <w:snapToGrid w:val="0"/>
          <w:sz w:val="22"/>
          <w:szCs w:val="22"/>
          <w:lang w:eastAsia="de-DE"/>
        </w:rPr>
        <w:t xml:space="preserve">Der Antrag beinhaltet die Änderung/Verlängerung der bereits betriebenen Abgrabung auf den Flurstücken </w:t>
      </w:r>
      <w:bookmarkStart w:id="2" w:name="_Hlk172103738"/>
      <w:r w:rsidRPr="00ED49E5">
        <w:rPr>
          <w:rFonts w:eastAsia="Times New Roman"/>
          <w:snapToGrid w:val="0"/>
          <w:sz w:val="22"/>
          <w:szCs w:val="22"/>
          <w:lang w:eastAsia="de-DE"/>
        </w:rPr>
        <w:t>27, 46 und 66 als auch die Erweiterung um die Flurstücke 31, 32 und 75.</w:t>
      </w:r>
      <w:bookmarkEnd w:id="2"/>
    </w:p>
    <w:p w14:paraId="4C34B3B0" w14:textId="11AE0B2C" w:rsidR="00F949B2" w:rsidRPr="00ED49E5" w:rsidRDefault="00F949B2" w:rsidP="00F949B2">
      <w:pPr>
        <w:widowControl w:val="0"/>
        <w:spacing w:before="0" w:beforeAutospacing="0" w:after="0" w:afterAutospacing="0"/>
        <w:ind w:right="-567"/>
        <w:rPr>
          <w:rFonts w:eastAsia="Times New Roman"/>
          <w:bCs/>
          <w:snapToGrid w:val="0"/>
          <w:sz w:val="22"/>
          <w:szCs w:val="22"/>
          <w:lang w:eastAsia="de-DE"/>
        </w:rPr>
      </w:pPr>
      <w:r w:rsidRPr="00ED49E5">
        <w:rPr>
          <w:rFonts w:eastAsia="Times New Roman"/>
          <w:bCs/>
          <w:snapToGrid w:val="0"/>
          <w:sz w:val="22"/>
          <w:szCs w:val="22"/>
          <w:lang w:eastAsia="de-DE"/>
        </w:rPr>
        <w:t xml:space="preserve">Die bereits bestehende Abgrabung umfasst eine Fläche von ca. </w:t>
      </w:r>
      <w:r w:rsidR="00CC6F67" w:rsidRPr="00CC6F67">
        <w:rPr>
          <w:rFonts w:eastAsia="Times New Roman"/>
          <w:bCs/>
          <w:snapToGrid w:val="0"/>
          <w:sz w:val="22"/>
          <w:szCs w:val="22"/>
          <w:lang w:eastAsia="de-DE"/>
        </w:rPr>
        <w:t>4,8</w:t>
      </w:r>
      <w:r w:rsidRPr="00ED49E5">
        <w:rPr>
          <w:rFonts w:eastAsia="Times New Roman"/>
          <w:bCs/>
          <w:snapToGrid w:val="0"/>
          <w:sz w:val="22"/>
          <w:szCs w:val="22"/>
          <w:lang w:eastAsia="de-DE"/>
        </w:rPr>
        <w:t xml:space="preserve"> ha. Laut Genehmigung vom </w:t>
      </w:r>
      <w:bookmarkStart w:id="3" w:name="_Hlk180047469"/>
      <w:r w:rsidRPr="00ED49E5">
        <w:rPr>
          <w:rFonts w:eastAsia="Times New Roman"/>
          <w:bCs/>
          <w:snapToGrid w:val="0"/>
          <w:sz w:val="22"/>
          <w:szCs w:val="22"/>
          <w:lang w:eastAsia="de-DE"/>
        </w:rPr>
        <w:t xml:space="preserve">21.06.2006 </w:t>
      </w:r>
      <w:bookmarkEnd w:id="3"/>
      <w:r w:rsidRPr="00ED49E5">
        <w:rPr>
          <w:rFonts w:eastAsia="Times New Roman"/>
          <w:bCs/>
          <w:snapToGrid w:val="0"/>
          <w:sz w:val="22"/>
          <w:szCs w:val="22"/>
          <w:lang w:eastAsia="de-DE"/>
        </w:rPr>
        <w:t xml:space="preserve">war das Vorhaben </w:t>
      </w:r>
      <w:r w:rsidRPr="00ED49E5">
        <w:rPr>
          <w:rFonts w:eastAsia="Times New Roman"/>
          <w:bCs/>
          <w:snapToGrid w:val="0"/>
          <w:sz w:val="22"/>
          <w:szCs w:val="22"/>
          <w:u w:val="single"/>
          <w:lang w:eastAsia="de-DE"/>
        </w:rPr>
        <w:t>nicht</w:t>
      </w:r>
      <w:r w:rsidRPr="00ED49E5">
        <w:rPr>
          <w:rFonts w:eastAsia="Times New Roman"/>
          <w:bCs/>
          <w:snapToGrid w:val="0"/>
          <w:sz w:val="22"/>
          <w:szCs w:val="22"/>
          <w:lang w:eastAsia="de-DE"/>
        </w:rPr>
        <w:t xml:space="preserve"> UVP-pflichtig.</w:t>
      </w:r>
    </w:p>
    <w:p w14:paraId="521D7905" w14:textId="4C43DE99" w:rsidR="00F949B2" w:rsidRPr="00ED49E5" w:rsidRDefault="00576BA4" w:rsidP="00E0638A">
      <w:pPr>
        <w:widowControl w:val="0"/>
        <w:spacing w:before="0" w:beforeAutospacing="0" w:after="0" w:afterAutospacing="0"/>
        <w:ind w:right="-567"/>
        <w:rPr>
          <w:rFonts w:eastAsia="Times New Roman"/>
          <w:snapToGrid w:val="0"/>
          <w:sz w:val="22"/>
          <w:szCs w:val="22"/>
          <w:lang w:eastAsia="de-DE"/>
        </w:rPr>
      </w:pPr>
      <w:r w:rsidRPr="00ED49E5">
        <w:rPr>
          <w:rFonts w:eastAsia="Times New Roman"/>
          <w:snapToGrid w:val="0"/>
          <w:sz w:val="22"/>
          <w:szCs w:val="22"/>
          <w:lang w:eastAsia="de-DE"/>
        </w:rPr>
        <w:t xml:space="preserve">Die Erweiterungsfläche beträgt </w:t>
      </w:r>
      <w:r w:rsidRPr="00ED49E5">
        <w:rPr>
          <w:rFonts w:eastAsia="Times New Roman"/>
          <w:bCs/>
          <w:snapToGrid w:val="0"/>
          <w:sz w:val="22"/>
          <w:szCs w:val="22"/>
          <w:lang w:eastAsia="de-DE"/>
        </w:rPr>
        <w:t>ca. 1,9 ha.</w:t>
      </w:r>
    </w:p>
    <w:p w14:paraId="7584FD5D" w14:textId="77777777" w:rsidR="00F949B2" w:rsidRPr="00ED49E5" w:rsidRDefault="00F949B2" w:rsidP="00E0638A">
      <w:pPr>
        <w:widowControl w:val="0"/>
        <w:spacing w:before="0" w:beforeAutospacing="0" w:after="0" w:afterAutospacing="0"/>
        <w:ind w:right="-567"/>
        <w:rPr>
          <w:rFonts w:eastAsia="Times New Roman"/>
          <w:snapToGrid w:val="0"/>
          <w:sz w:val="22"/>
          <w:szCs w:val="22"/>
          <w:lang w:eastAsia="de-DE"/>
        </w:rPr>
      </w:pPr>
    </w:p>
    <w:p w14:paraId="0CF1DABB" w14:textId="00C375EE" w:rsidR="00E0638A" w:rsidRPr="00694A1B" w:rsidRDefault="008841CF" w:rsidP="00E0638A">
      <w:pPr>
        <w:widowControl w:val="0"/>
        <w:spacing w:before="0" w:beforeAutospacing="0" w:after="0" w:afterAutospacing="0"/>
        <w:ind w:right="-567"/>
        <w:rPr>
          <w:rFonts w:eastAsia="Times New Roman"/>
          <w:bCs/>
          <w:snapToGrid w:val="0"/>
          <w:sz w:val="22"/>
          <w:szCs w:val="22"/>
          <w:lang w:eastAsia="de-DE"/>
        </w:rPr>
      </w:pPr>
      <w:r w:rsidRPr="00694A1B">
        <w:rPr>
          <w:rFonts w:eastAsia="Times New Roman"/>
          <w:snapToGrid w:val="0"/>
          <w:sz w:val="22"/>
          <w:szCs w:val="22"/>
          <w:lang w:eastAsia="de-DE"/>
        </w:rPr>
        <w:t>Nach Anlage 1, Ziffer 10 c zu §1 UVPG NRW unterliegen Abgrabungen zwischen 2 und 10 ha einer standortbezogenen Vorprüfung.</w:t>
      </w:r>
      <w:r w:rsidR="00694A1B">
        <w:rPr>
          <w:rFonts w:eastAsia="Times New Roman"/>
          <w:snapToGrid w:val="0"/>
          <w:sz w:val="22"/>
          <w:szCs w:val="22"/>
          <w:lang w:eastAsia="de-DE"/>
        </w:rPr>
        <w:t xml:space="preserve"> </w:t>
      </w:r>
      <w:r w:rsidR="001A4AEF" w:rsidRPr="00694A1B">
        <w:rPr>
          <w:rFonts w:eastAsia="Times New Roman"/>
          <w:bCs/>
          <w:snapToGrid w:val="0"/>
          <w:sz w:val="22"/>
          <w:szCs w:val="22"/>
          <w:lang w:eastAsia="de-DE"/>
        </w:rPr>
        <w:t xml:space="preserve">Im Hinblick auf die Größenverhältnisse </w:t>
      </w:r>
      <w:r w:rsidR="00E20B6B" w:rsidRPr="00694A1B">
        <w:rPr>
          <w:rFonts w:eastAsia="Times New Roman"/>
          <w:bCs/>
          <w:snapToGrid w:val="0"/>
          <w:sz w:val="22"/>
          <w:szCs w:val="22"/>
          <w:lang w:eastAsia="de-DE"/>
        </w:rPr>
        <w:t xml:space="preserve">liegt die Alt- und die Neufläche insgesamt unter 10 ha. </w:t>
      </w:r>
      <w:r w:rsidR="00115071" w:rsidRPr="00694A1B">
        <w:rPr>
          <w:rFonts w:eastAsia="Times New Roman"/>
          <w:bCs/>
          <w:snapToGrid w:val="0"/>
          <w:sz w:val="22"/>
          <w:szCs w:val="22"/>
          <w:lang w:eastAsia="de-DE"/>
        </w:rPr>
        <w:t xml:space="preserve">Der Größenwert wird erneut erreicht. </w:t>
      </w:r>
    </w:p>
    <w:p w14:paraId="53CC7D3D" w14:textId="66ED6BB8" w:rsidR="00A514FE" w:rsidRPr="003D6655" w:rsidRDefault="00A514FE" w:rsidP="00E0638A">
      <w:pPr>
        <w:widowControl w:val="0"/>
        <w:spacing w:before="0" w:beforeAutospacing="0" w:after="0" w:afterAutospacing="0"/>
        <w:ind w:right="-567"/>
        <w:rPr>
          <w:rFonts w:eastAsia="Times New Roman"/>
          <w:bCs/>
          <w:i/>
          <w:iCs/>
          <w:snapToGrid w:val="0"/>
          <w:sz w:val="22"/>
          <w:szCs w:val="22"/>
          <w:lang w:eastAsia="de-DE"/>
        </w:rPr>
      </w:pPr>
    </w:p>
    <w:p w14:paraId="54F1EEB6" w14:textId="4D19F2F0" w:rsidR="00B14C60" w:rsidRPr="00694A1B" w:rsidRDefault="00594AEA" w:rsidP="00E0638A">
      <w:pPr>
        <w:widowControl w:val="0"/>
        <w:spacing w:before="0" w:beforeAutospacing="0" w:after="0" w:afterAutospacing="0"/>
        <w:ind w:right="-567"/>
        <w:rPr>
          <w:rFonts w:eastAsia="Times New Roman"/>
          <w:bCs/>
          <w:snapToGrid w:val="0"/>
          <w:sz w:val="22"/>
          <w:szCs w:val="22"/>
          <w:lang w:eastAsia="de-DE"/>
        </w:rPr>
      </w:pPr>
      <w:r w:rsidRPr="00694A1B">
        <w:rPr>
          <w:rFonts w:eastAsia="Times New Roman"/>
          <w:bCs/>
          <w:snapToGrid w:val="0"/>
          <w:sz w:val="22"/>
          <w:szCs w:val="22"/>
          <w:lang w:eastAsia="de-DE"/>
        </w:rPr>
        <w:t>Für die Prüfung w</w:t>
      </w:r>
      <w:r w:rsidR="00694A1B" w:rsidRPr="00694A1B">
        <w:rPr>
          <w:rFonts w:eastAsia="Times New Roman"/>
          <w:bCs/>
          <w:snapToGrid w:val="0"/>
          <w:sz w:val="22"/>
          <w:szCs w:val="22"/>
          <w:lang w:eastAsia="de-DE"/>
        </w:rPr>
        <w:t>u</w:t>
      </w:r>
      <w:r w:rsidRPr="00694A1B">
        <w:rPr>
          <w:rFonts w:eastAsia="Times New Roman"/>
          <w:bCs/>
          <w:snapToGrid w:val="0"/>
          <w:sz w:val="22"/>
          <w:szCs w:val="22"/>
          <w:lang w:eastAsia="de-DE"/>
        </w:rPr>
        <w:t xml:space="preserve">rden die in den Antragsunterlagen enthaltenen </w:t>
      </w:r>
      <w:r w:rsidR="00A514FE" w:rsidRPr="00694A1B">
        <w:rPr>
          <w:rFonts w:eastAsia="Times New Roman"/>
          <w:bCs/>
          <w:snapToGrid w:val="0"/>
          <w:sz w:val="22"/>
          <w:szCs w:val="22"/>
          <w:lang w:eastAsia="de-DE"/>
        </w:rPr>
        <w:t xml:space="preserve">„Angaben zur standortbezogenen Vorprüfung“ des Planungsbüros vom </w:t>
      </w:r>
      <w:r w:rsidRPr="00694A1B">
        <w:rPr>
          <w:rFonts w:eastAsia="Times New Roman"/>
          <w:bCs/>
          <w:snapToGrid w:val="0"/>
          <w:sz w:val="22"/>
          <w:szCs w:val="22"/>
          <w:lang w:eastAsia="de-DE"/>
        </w:rPr>
        <w:t>24</w:t>
      </w:r>
      <w:r w:rsidR="00A514FE" w:rsidRPr="00694A1B">
        <w:rPr>
          <w:rFonts w:eastAsia="Times New Roman"/>
          <w:bCs/>
          <w:snapToGrid w:val="0"/>
          <w:sz w:val="22"/>
          <w:szCs w:val="22"/>
          <w:lang w:eastAsia="de-DE"/>
        </w:rPr>
        <w:t>.06.202</w:t>
      </w:r>
      <w:r w:rsidRPr="00694A1B">
        <w:rPr>
          <w:rFonts w:eastAsia="Times New Roman"/>
          <w:bCs/>
          <w:snapToGrid w:val="0"/>
          <w:sz w:val="22"/>
          <w:szCs w:val="22"/>
          <w:lang w:eastAsia="de-DE"/>
        </w:rPr>
        <w:t>2</w:t>
      </w:r>
      <w:r w:rsidR="00A514FE" w:rsidRPr="00694A1B">
        <w:rPr>
          <w:rFonts w:eastAsia="Times New Roman"/>
          <w:bCs/>
          <w:snapToGrid w:val="0"/>
          <w:sz w:val="22"/>
          <w:szCs w:val="22"/>
          <w:lang w:eastAsia="de-DE"/>
        </w:rPr>
        <w:t xml:space="preserve"> </w:t>
      </w:r>
      <w:r w:rsidRPr="00694A1B">
        <w:rPr>
          <w:rFonts w:eastAsia="Times New Roman"/>
          <w:bCs/>
          <w:snapToGrid w:val="0"/>
          <w:sz w:val="22"/>
          <w:szCs w:val="22"/>
          <w:lang w:eastAsia="de-DE"/>
        </w:rPr>
        <w:t xml:space="preserve">herangezogen. Die Angaben sind vollständig und nachprüfbar. </w:t>
      </w:r>
    </w:p>
    <w:p w14:paraId="6D9412A4" w14:textId="6CC98381" w:rsidR="00594AEA" w:rsidRPr="00694A1B" w:rsidRDefault="00416D5F" w:rsidP="00E0638A">
      <w:pPr>
        <w:widowControl w:val="0"/>
        <w:spacing w:before="0" w:beforeAutospacing="0" w:after="0" w:afterAutospacing="0"/>
        <w:ind w:right="-567"/>
        <w:rPr>
          <w:rFonts w:eastAsia="Times New Roman"/>
          <w:bCs/>
          <w:snapToGrid w:val="0"/>
          <w:sz w:val="22"/>
          <w:szCs w:val="22"/>
          <w:lang w:eastAsia="de-DE"/>
        </w:rPr>
      </w:pPr>
      <w:r w:rsidRPr="00694A1B">
        <w:rPr>
          <w:rFonts w:eastAsia="Times New Roman"/>
          <w:bCs/>
          <w:snapToGrid w:val="0"/>
          <w:sz w:val="22"/>
          <w:szCs w:val="22"/>
          <w:lang w:eastAsia="de-DE"/>
        </w:rPr>
        <w:t xml:space="preserve">Es sind </w:t>
      </w:r>
      <w:r w:rsidRPr="00694A1B">
        <w:rPr>
          <w:rFonts w:eastAsia="Times New Roman"/>
          <w:bCs/>
          <w:snapToGrid w:val="0"/>
          <w:sz w:val="22"/>
          <w:szCs w:val="22"/>
          <w:u w:val="single"/>
          <w:lang w:eastAsia="de-DE"/>
        </w:rPr>
        <w:t>keine</w:t>
      </w:r>
      <w:r w:rsidRPr="00694A1B">
        <w:rPr>
          <w:rFonts w:eastAsia="Times New Roman"/>
          <w:bCs/>
          <w:snapToGrid w:val="0"/>
          <w:sz w:val="22"/>
          <w:szCs w:val="22"/>
          <w:lang w:eastAsia="de-DE"/>
        </w:rPr>
        <w:t xml:space="preserve"> </w:t>
      </w:r>
      <w:r w:rsidR="00594AEA" w:rsidRPr="00694A1B">
        <w:rPr>
          <w:rFonts w:eastAsia="Times New Roman"/>
          <w:bCs/>
          <w:snapToGrid w:val="0"/>
          <w:sz w:val="22"/>
          <w:szCs w:val="22"/>
          <w:lang w:eastAsia="de-DE"/>
        </w:rPr>
        <w:t>Schutzkriterien nach Anlage 3, Nummer 2.3 zum UVPG</w:t>
      </w:r>
      <w:r w:rsidRPr="00694A1B">
        <w:rPr>
          <w:rFonts w:eastAsia="Times New Roman"/>
          <w:bCs/>
          <w:snapToGrid w:val="0"/>
          <w:sz w:val="22"/>
          <w:szCs w:val="22"/>
          <w:lang w:eastAsia="de-DE"/>
        </w:rPr>
        <w:t xml:space="preserve"> betroffen.</w:t>
      </w:r>
      <w:r w:rsidR="00F65553" w:rsidRPr="00694A1B">
        <w:rPr>
          <w:rFonts w:eastAsia="Times New Roman"/>
          <w:bCs/>
          <w:snapToGrid w:val="0"/>
          <w:sz w:val="22"/>
          <w:szCs w:val="22"/>
          <w:lang w:eastAsia="de-DE"/>
        </w:rPr>
        <w:t xml:space="preserve"> Die Prüfung weiterer Belange ist nicht erforderlich.</w:t>
      </w:r>
    </w:p>
    <w:p w14:paraId="1F8623A9" w14:textId="77777777" w:rsidR="00694A1B" w:rsidRDefault="00694A1B" w:rsidP="00694A1B">
      <w:pPr>
        <w:tabs>
          <w:tab w:val="left" w:pos="-453"/>
          <w:tab w:val="left" w:pos="0"/>
          <w:tab w:val="left" w:pos="226"/>
          <w:tab w:val="left" w:pos="793"/>
          <w:tab w:val="left" w:pos="1110"/>
          <w:tab w:val="left" w:pos="1870"/>
          <w:tab w:val="left" w:pos="2721"/>
          <w:tab w:val="left" w:pos="3685"/>
          <w:tab w:val="left" w:pos="4648"/>
          <w:tab w:val="left" w:pos="5272"/>
          <w:tab w:val="left" w:pos="5929"/>
          <w:tab w:val="left" w:pos="6916"/>
          <w:tab w:val="left" w:pos="7920"/>
        </w:tabs>
        <w:spacing w:before="0" w:beforeAutospacing="0" w:after="0" w:afterAutospacing="0"/>
        <w:ind w:right="-567"/>
        <w:rPr>
          <w:sz w:val="22"/>
          <w:szCs w:val="22"/>
        </w:rPr>
      </w:pPr>
    </w:p>
    <w:p w14:paraId="52DD0ABD" w14:textId="2F95C3D2" w:rsidR="00694A1B" w:rsidRPr="00BB107A" w:rsidRDefault="00694A1B" w:rsidP="00694A1B">
      <w:pPr>
        <w:tabs>
          <w:tab w:val="left" w:pos="-453"/>
          <w:tab w:val="left" w:pos="0"/>
          <w:tab w:val="left" w:pos="226"/>
          <w:tab w:val="left" w:pos="793"/>
          <w:tab w:val="left" w:pos="1110"/>
          <w:tab w:val="left" w:pos="1870"/>
          <w:tab w:val="left" w:pos="2721"/>
          <w:tab w:val="left" w:pos="3685"/>
          <w:tab w:val="left" w:pos="4648"/>
          <w:tab w:val="left" w:pos="5272"/>
          <w:tab w:val="left" w:pos="5929"/>
          <w:tab w:val="left" w:pos="6916"/>
          <w:tab w:val="left" w:pos="7920"/>
        </w:tabs>
        <w:spacing w:before="0" w:beforeAutospacing="0" w:after="0" w:afterAutospacing="0"/>
        <w:ind w:right="-567"/>
        <w:rPr>
          <w:sz w:val="22"/>
          <w:szCs w:val="22"/>
        </w:rPr>
      </w:pPr>
      <w:r w:rsidRPr="00BB107A">
        <w:rPr>
          <w:sz w:val="22"/>
          <w:szCs w:val="22"/>
        </w:rPr>
        <w:t xml:space="preserve">Für das Änderungsvorhaben besteht daher </w:t>
      </w:r>
      <w:r w:rsidRPr="00BB107A">
        <w:rPr>
          <w:sz w:val="22"/>
          <w:szCs w:val="22"/>
          <w:u w:val="single"/>
        </w:rPr>
        <w:t>keine</w:t>
      </w:r>
      <w:r w:rsidRPr="00BB107A">
        <w:rPr>
          <w:sz w:val="22"/>
          <w:szCs w:val="22"/>
        </w:rPr>
        <w:t xml:space="preserve"> Verpflichtung zur Durchführung einer Umweltverträglichkeitsprüfung.</w:t>
      </w:r>
    </w:p>
    <w:p w14:paraId="4D8B7F27" w14:textId="77777777" w:rsidR="00694A1B" w:rsidRPr="00BB107A" w:rsidRDefault="00694A1B" w:rsidP="00694A1B">
      <w:pPr>
        <w:tabs>
          <w:tab w:val="left" w:pos="-453"/>
          <w:tab w:val="left" w:pos="0"/>
          <w:tab w:val="left" w:pos="226"/>
          <w:tab w:val="left" w:pos="793"/>
          <w:tab w:val="left" w:pos="1110"/>
          <w:tab w:val="left" w:pos="1870"/>
          <w:tab w:val="left" w:pos="2721"/>
          <w:tab w:val="left" w:pos="3685"/>
          <w:tab w:val="left" w:pos="4648"/>
          <w:tab w:val="left" w:pos="5272"/>
          <w:tab w:val="left" w:pos="5929"/>
          <w:tab w:val="left" w:pos="6916"/>
          <w:tab w:val="left" w:pos="7920"/>
        </w:tabs>
        <w:spacing w:before="0" w:beforeAutospacing="0" w:after="0" w:afterAutospacing="0"/>
        <w:ind w:right="-567"/>
        <w:rPr>
          <w:sz w:val="22"/>
          <w:szCs w:val="22"/>
        </w:rPr>
      </w:pPr>
      <w:r w:rsidRPr="00BB107A">
        <w:rPr>
          <w:sz w:val="22"/>
          <w:szCs w:val="22"/>
        </w:rPr>
        <w:t>Diese Feststellung ist gem. § 5 Abs. 3 Satz 1 UVPG nicht selbstständig anfechtbar.</w:t>
      </w:r>
    </w:p>
    <w:p w14:paraId="7B99CFE9" w14:textId="77777777" w:rsidR="00694A1B" w:rsidRPr="00BB107A" w:rsidRDefault="00694A1B" w:rsidP="00694A1B">
      <w:pPr>
        <w:tabs>
          <w:tab w:val="left" w:pos="-453"/>
          <w:tab w:val="left" w:pos="0"/>
          <w:tab w:val="left" w:pos="226"/>
          <w:tab w:val="left" w:pos="793"/>
          <w:tab w:val="left" w:pos="1110"/>
          <w:tab w:val="left" w:pos="1870"/>
          <w:tab w:val="left" w:pos="2721"/>
          <w:tab w:val="left" w:pos="3685"/>
          <w:tab w:val="left" w:pos="4648"/>
          <w:tab w:val="left" w:pos="5272"/>
          <w:tab w:val="left" w:pos="5929"/>
          <w:tab w:val="left" w:pos="6916"/>
          <w:tab w:val="left" w:pos="7920"/>
        </w:tabs>
        <w:spacing w:before="0" w:beforeAutospacing="0" w:after="0" w:afterAutospacing="0"/>
        <w:ind w:right="-567"/>
        <w:rPr>
          <w:sz w:val="22"/>
          <w:szCs w:val="22"/>
        </w:rPr>
      </w:pPr>
      <w:r w:rsidRPr="00BB107A">
        <w:rPr>
          <w:sz w:val="22"/>
          <w:szCs w:val="22"/>
        </w:rPr>
        <w:t xml:space="preserve">Die gem. § 5 Abs. 2 UVPG erforderliche Information der Öffentlichkeit erfolgt mit dieser Bekanntgabe. </w:t>
      </w:r>
    </w:p>
    <w:p w14:paraId="5CCC36CE" w14:textId="215F6B82" w:rsidR="00B501A8" w:rsidRPr="003D6655" w:rsidRDefault="00B501A8" w:rsidP="00B501A8">
      <w:pPr>
        <w:spacing w:before="0" w:beforeAutospacing="0" w:after="0" w:afterAutospacing="0"/>
        <w:outlineLvl w:val="1"/>
        <w:rPr>
          <w:rFonts w:eastAsia="Times New Roman" w:cs="Times New Roman"/>
          <w:i/>
          <w:iCs/>
          <w:kern w:val="36"/>
          <w:sz w:val="22"/>
          <w:szCs w:val="22"/>
          <w:lang w:eastAsia="de-DE"/>
        </w:rPr>
      </w:pPr>
    </w:p>
    <w:p w14:paraId="64AC1891" w14:textId="769E90E0" w:rsidR="00B501A8" w:rsidRPr="00074DD4" w:rsidRDefault="00B501A8" w:rsidP="00B501A8">
      <w:pPr>
        <w:spacing w:before="0" w:beforeAutospacing="0" w:after="0" w:afterAutospacing="0"/>
        <w:outlineLvl w:val="1"/>
        <w:rPr>
          <w:rFonts w:eastAsia="Times New Roman" w:cs="Times New Roman"/>
          <w:i/>
          <w:iCs/>
          <w:kern w:val="36"/>
          <w:sz w:val="22"/>
          <w:szCs w:val="22"/>
          <w:lang w:eastAsia="de-DE"/>
        </w:rPr>
      </w:pPr>
    </w:p>
    <w:p w14:paraId="3C28DB82" w14:textId="786B1F60" w:rsidR="00B501A8" w:rsidRPr="00B501A8" w:rsidRDefault="00B501A8" w:rsidP="00B501A8">
      <w:pPr>
        <w:spacing w:before="0" w:beforeAutospacing="0" w:after="0" w:afterAutospacing="0"/>
        <w:outlineLvl w:val="1"/>
        <w:rPr>
          <w:rFonts w:eastAsia="Times New Roman" w:cs="Times New Roman"/>
          <w:kern w:val="36"/>
          <w:sz w:val="22"/>
          <w:szCs w:val="22"/>
          <w:lang w:eastAsia="de-DE"/>
        </w:rPr>
      </w:pPr>
      <w:r w:rsidRPr="00B501A8">
        <w:rPr>
          <w:rFonts w:eastAsia="Times New Roman" w:cs="Times New Roman"/>
          <w:kern w:val="36"/>
          <w:sz w:val="22"/>
          <w:szCs w:val="22"/>
          <w:lang w:eastAsia="de-DE"/>
        </w:rPr>
        <w:t>i</w:t>
      </w:r>
      <w:r w:rsidR="00A9701C">
        <w:rPr>
          <w:rFonts w:eastAsia="Times New Roman" w:cs="Times New Roman"/>
          <w:kern w:val="36"/>
          <w:sz w:val="22"/>
          <w:szCs w:val="22"/>
          <w:lang w:eastAsia="de-DE"/>
        </w:rPr>
        <w:t>.</w:t>
      </w:r>
      <w:r>
        <w:rPr>
          <w:rFonts w:eastAsia="Times New Roman" w:cs="Times New Roman"/>
          <w:kern w:val="36"/>
          <w:sz w:val="22"/>
          <w:szCs w:val="22"/>
          <w:lang w:eastAsia="de-DE"/>
        </w:rPr>
        <w:t xml:space="preserve"> </w:t>
      </w:r>
      <w:r w:rsidRPr="00B501A8">
        <w:rPr>
          <w:rFonts w:eastAsia="Times New Roman" w:cs="Times New Roman"/>
          <w:kern w:val="36"/>
          <w:sz w:val="22"/>
          <w:szCs w:val="22"/>
          <w:lang w:eastAsia="de-DE"/>
        </w:rPr>
        <w:t>A.</w:t>
      </w:r>
    </w:p>
    <w:p w14:paraId="0DA22CAE" w14:textId="7FA50848" w:rsidR="00B501A8" w:rsidRDefault="00694A1B" w:rsidP="00B501A8">
      <w:pPr>
        <w:spacing w:before="0" w:beforeAutospacing="0" w:after="0" w:afterAutospacing="0"/>
        <w:outlineLvl w:val="1"/>
        <w:rPr>
          <w:rFonts w:eastAsia="Times New Roman" w:cs="Times New Roman"/>
          <w:kern w:val="36"/>
          <w:sz w:val="22"/>
          <w:szCs w:val="22"/>
          <w:lang w:eastAsia="de-DE"/>
        </w:rPr>
      </w:pPr>
      <w:r>
        <w:rPr>
          <w:rFonts w:eastAsia="Times New Roman" w:cs="Times New Roman"/>
          <w:kern w:val="36"/>
          <w:sz w:val="22"/>
          <w:szCs w:val="22"/>
          <w:lang w:eastAsia="de-DE"/>
        </w:rPr>
        <w:t>gez.</w:t>
      </w:r>
    </w:p>
    <w:p w14:paraId="698A909D" w14:textId="03DAC33C" w:rsidR="00B501A8" w:rsidRDefault="00B501A8" w:rsidP="00B501A8">
      <w:pPr>
        <w:spacing w:before="0" w:beforeAutospacing="0" w:after="0" w:afterAutospacing="0"/>
        <w:outlineLvl w:val="1"/>
        <w:rPr>
          <w:rFonts w:eastAsia="Times New Roman" w:cs="Times New Roman"/>
          <w:kern w:val="36"/>
          <w:sz w:val="22"/>
          <w:szCs w:val="22"/>
          <w:lang w:eastAsia="de-DE"/>
        </w:rPr>
      </w:pPr>
    </w:p>
    <w:p w14:paraId="7A80935C" w14:textId="5212C2B5" w:rsidR="00B501A8" w:rsidRDefault="00B501A8" w:rsidP="00B501A8">
      <w:pPr>
        <w:spacing w:before="0" w:beforeAutospacing="0" w:after="0" w:afterAutospacing="0"/>
        <w:outlineLvl w:val="1"/>
        <w:rPr>
          <w:rFonts w:eastAsia="Times New Roman" w:cs="Times New Roman"/>
          <w:kern w:val="36"/>
          <w:sz w:val="22"/>
          <w:szCs w:val="22"/>
          <w:lang w:eastAsia="de-DE"/>
        </w:rPr>
      </w:pPr>
      <w:r>
        <w:rPr>
          <w:rFonts w:eastAsia="Times New Roman" w:cs="Times New Roman"/>
          <w:kern w:val="36"/>
          <w:sz w:val="22"/>
          <w:szCs w:val="22"/>
          <w:lang w:eastAsia="de-DE"/>
        </w:rPr>
        <w:t>Brunen</w:t>
      </w:r>
    </w:p>
    <w:sectPr w:rsidR="00B501A8" w:rsidSect="00E063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46AFB"/>
    <w:multiLevelType w:val="hybridMultilevel"/>
    <w:tmpl w:val="A386E4BE"/>
    <w:lvl w:ilvl="0" w:tplc="77AC5EBA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01C4"/>
    <w:multiLevelType w:val="hybridMultilevel"/>
    <w:tmpl w:val="3C36448A"/>
    <w:lvl w:ilvl="0" w:tplc="EB0CB4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889760">
    <w:abstractNumId w:val="1"/>
  </w:num>
  <w:num w:numId="2" w16cid:durableId="589125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53"/>
    <w:rsid w:val="00032855"/>
    <w:rsid w:val="00074DD4"/>
    <w:rsid w:val="000D60D0"/>
    <w:rsid w:val="000F49CF"/>
    <w:rsid w:val="00115071"/>
    <w:rsid w:val="001A4AEF"/>
    <w:rsid w:val="00220922"/>
    <w:rsid w:val="002837DA"/>
    <w:rsid w:val="002F0C47"/>
    <w:rsid w:val="003D6655"/>
    <w:rsid w:val="003F174D"/>
    <w:rsid w:val="00416D5F"/>
    <w:rsid w:val="0045457F"/>
    <w:rsid w:val="004A657C"/>
    <w:rsid w:val="00504EB7"/>
    <w:rsid w:val="00576BA4"/>
    <w:rsid w:val="00594AEA"/>
    <w:rsid w:val="005A2273"/>
    <w:rsid w:val="005E1D44"/>
    <w:rsid w:val="005E6698"/>
    <w:rsid w:val="00646A4B"/>
    <w:rsid w:val="00677D53"/>
    <w:rsid w:val="00694A1B"/>
    <w:rsid w:val="00701BF6"/>
    <w:rsid w:val="008420F5"/>
    <w:rsid w:val="008841CF"/>
    <w:rsid w:val="00996823"/>
    <w:rsid w:val="009F021E"/>
    <w:rsid w:val="00A03446"/>
    <w:rsid w:val="00A514FE"/>
    <w:rsid w:val="00A820D7"/>
    <w:rsid w:val="00A9701C"/>
    <w:rsid w:val="00B14C60"/>
    <w:rsid w:val="00B501A8"/>
    <w:rsid w:val="00C577AE"/>
    <w:rsid w:val="00C87615"/>
    <w:rsid w:val="00CA2A75"/>
    <w:rsid w:val="00CC6F67"/>
    <w:rsid w:val="00D7103B"/>
    <w:rsid w:val="00D95839"/>
    <w:rsid w:val="00DD5390"/>
    <w:rsid w:val="00E0638A"/>
    <w:rsid w:val="00E20B6B"/>
    <w:rsid w:val="00EB1309"/>
    <w:rsid w:val="00EB37FF"/>
    <w:rsid w:val="00ED49E5"/>
    <w:rsid w:val="00F04526"/>
    <w:rsid w:val="00F65553"/>
    <w:rsid w:val="00F9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7B64"/>
  <w15:chartTrackingRefBased/>
  <w15:docId w15:val="{F2FD49D7-6AEA-4BD3-9BBE-CF494065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Theme="minorHAnsi" w:hAnsi="Lato" w:cs="Arial"/>
        <w:sz w:val="24"/>
        <w:szCs w:val="24"/>
        <w:lang w:val="de-DE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66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3285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0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5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2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87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3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2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88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58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90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89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2F9A7-0934-4332-BEE9-D365C90F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Dismon</dc:creator>
  <cp:keywords/>
  <dc:description/>
  <cp:lastModifiedBy>Margit Brunen</cp:lastModifiedBy>
  <cp:revision>7</cp:revision>
  <cp:lastPrinted>2021-06-11T10:35:00Z</cp:lastPrinted>
  <dcterms:created xsi:type="dcterms:W3CDTF">2024-10-17T06:18:00Z</dcterms:created>
  <dcterms:modified xsi:type="dcterms:W3CDTF">2025-01-03T11:56:00Z</dcterms:modified>
</cp:coreProperties>
</file>