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rPr>
          <w:szCs w:val="24"/>
        </w:rPr>
      </w:pPr>
      <w:bookmarkStart w:id="0" w:name="_GoBack"/>
      <w:bookmarkEnd w:id="0"/>
      <w:r>
        <w:rPr>
          <w:szCs w:val="24"/>
        </w:rPr>
        <w:t xml:space="preserve"> Köln, den </w:t>
      </w:r>
    </w:p>
    <w:p>
      <w:pPr>
        <w:spacing w:after="0"/>
        <w:rPr>
          <w:szCs w:val="24"/>
        </w:rPr>
      </w:pPr>
    </w:p>
    <w:p>
      <w:pPr>
        <w:spacing w:after="0"/>
      </w:pPr>
    </w:p>
    <w:p>
      <w:pPr>
        <w:keepNext/>
        <w:spacing w:after="0"/>
        <w:jc w:val="center"/>
        <w:outlineLvl w:val="0"/>
        <w:rPr>
          <w:rFonts w:eastAsia="Arial Unicode MS"/>
          <w:b/>
          <w:u w:val="single"/>
        </w:rPr>
      </w:pPr>
      <w:r>
        <w:rPr>
          <w:rFonts w:eastAsia="Arial Unicode MS"/>
          <w:b/>
          <w:u w:val="single"/>
        </w:rPr>
        <w:t>Bekanntmachung</w:t>
      </w:r>
    </w:p>
    <w:p>
      <w:pPr>
        <w:pStyle w:val="VfgPunktff"/>
        <w:jc w:val="both"/>
      </w:pPr>
    </w:p>
    <w:p>
      <w:pPr>
        <w:pStyle w:val="VfgPunktff"/>
        <w:jc w:val="both"/>
      </w:pPr>
      <w:r>
        <w:rPr>
          <w:b/>
        </w:rPr>
        <w:t>Planfeststellung nach dem Bundesfernstraßengesetz (FStrG) für den 8-streifigen Ausbau der A 59 zwischen dem Autobahndreieck Sankt Augustin-West und dem Autobahndreieck Bonn-Nordost</w:t>
      </w:r>
    </w:p>
    <w:p>
      <w:pPr>
        <w:pStyle w:val="VfgPunktff"/>
        <w:jc w:val="both"/>
      </w:pPr>
      <w:r>
        <w:t>Im Auftrag der Bundesrepublik Deutschland beabsichtigt die Autobahn GmbH des Bundes, Niederlassung Rheinland, Außenstelle Köln, den Ausbau der Bundesautobahn A 59 zwischen dem Autobahndreieck Sankt Augustin-West und Autobahndreieck Bonn-Nordost. Das Straßenbauvorhaben hat Auswirkungen auf Gebiete der Städte Bonn und Sankt Augustin.</w:t>
      </w:r>
    </w:p>
    <w:p>
      <w:pPr>
        <w:pStyle w:val="VfgPunktff"/>
        <w:jc w:val="both"/>
      </w:pPr>
      <w:r>
        <w:t>Zur Erlangung des Baurechts für diese Maßnahme hat der Landesbetrieb Straßenbau NRW (jetzt zuständig: die Autobahn GmbH des Bundes) bei der Bezirksregierung Köln (Anhörungsbehörde) die Durchführung des Planfeststellungsverfahrens nach § 17a Bundesfernstraßengesetz (FStrG) in Verbindung mit § 73 Verwaltungsverfahrensgesetz (VwVfG) beantragt.</w:t>
      </w:r>
    </w:p>
    <w:p>
      <w:pPr>
        <w:pStyle w:val="VfgPunktff"/>
        <w:jc w:val="both"/>
      </w:pPr>
      <w:r>
        <w:t>Für das Vorhaben besteht eine Verpflichtung zur Durchführung einer Umweltverträglichkeitsprüfung gemäß § 3a des Gesetzes über die Umweltverträglichkeitsprüfung (UVPG).</w:t>
      </w:r>
    </w:p>
    <w:p>
      <w:pPr>
        <w:pStyle w:val="VfgPunktff"/>
        <w:jc w:val="both"/>
      </w:pPr>
      <w:r>
        <w:t>Das für das Bauvorhaben durchzuführende Planfeststellungsverfahren wurde am 13.01.2016 eingeleitet. Die abgegebenen Stellungnahmen der Träger öffentlicher Belange sowie die Einwendungen der betroffenen Privaten zu den Anfang 2016 offen gelegten Planunterlagen sowie der Offenlage des 1. Deckblattes im Jahr 2019 haben dazu geführt, dass die Ausgangsplanung von der Autobahn GmbH des Bundes überarbeitet worden ist. Die Planänderung (2. Deckblatt) umfasst insbesondere:</w:t>
      </w:r>
    </w:p>
    <w:p>
      <w:pPr>
        <w:pStyle w:val="VfgPunktff"/>
        <w:numPr>
          <w:ilvl w:val="0"/>
          <w:numId w:val="5"/>
        </w:numPr>
        <w:jc w:val="both"/>
      </w:pPr>
      <w:r>
        <w:tab/>
        <w:t>die der Planung zugrundeliegende Verkehrsuntersuchung wurde für das Prognosejahr 2030 aktualisiert,</w:t>
      </w:r>
    </w:p>
    <w:p>
      <w:pPr>
        <w:pStyle w:val="VfgPunktff"/>
        <w:numPr>
          <w:ilvl w:val="0"/>
          <w:numId w:val="5"/>
        </w:numPr>
        <w:jc w:val="both"/>
      </w:pPr>
      <w:r>
        <w:tab/>
        <w:t>der Anschluss des Wirtschaftsweges westlich der A 59 erfolgt in ähnlicher Weise wie der vorhandene Anschluss, im weiteren Verlauf des Weges wird die S-Kurve aufgeweitet, der Weg teilweise bituminös befestigt und die Beleuchtung wiederhergestellt,</w:t>
      </w:r>
    </w:p>
    <w:p>
      <w:pPr>
        <w:pStyle w:val="VfgPunktff"/>
        <w:numPr>
          <w:ilvl w:val="0"/>
          <w:numId w:val="5"/>
        </w:numPr>
        <w:jc w:val="both"/>
      </w:pPr>
      <w:r>
        <w:t xml:space="preserve">    die auf beiden Seiten der L 16/Johann-Quadt-Straße vorhandenen Bushaltestellen und Fahrradabstellanlagen werden wiederhergestellt,</w:t>
      </w:r>
    </w:p>
    <w:p>
      <w:pPr>
        <w:pStyle w:val="VfgPunktff"/>
        <w:numPr>
          <w:ilvl w:val="0"/>
          <w:numId w:val="5"/>
        </w:numPr>
        <w:jc w:val="both"/>
      </w:pPr>
      <w:r>
        <w:t xml:space="preserve">    bei der vorhandenen Ferngasleitung Nr. 3/5, DN 150 wird eine neue Schiebergruppe   vorgesehen,</w:t>
      </w:r>
    </w:p>
    <w:p>
      <w:pPr>
        <w:pStyle w:val="VfgPunktff"/>
        <w:numPr>
          <w:ilvl w:val="0"/>
          <w:numId w:val="5"/>
        </w:numPr>
        <w:jc w:val="both"/>
      </w:pPr>
      <w:r>
        <w:t xml:space="preserve">    der von der Rhein-Sieg-Netz AG geplante Ringschluss für die Gasleitung wird berücksichtigt,</w:t>
      </w:r>
    </w:p>
    <w:p>
      <w:pPr>
        <w:pStyle w:val="VfgPunktff"/>
        <w:numPr>
          <w:ilvl w:val="0"/>
          <w:numId w:val="5"/>
        </w:numPr>
        <w:jc w:val="both"/>
      </w:pPr>
      <w:r>
        <w:t xml:space="preserve">    die Einleitungsstelle 5208 5010 in die Sieg wird einschließlich der Leitungen und Bauten im Bereich der Einleitstelle zurückgebaut bzw. entfernt,</w:t>
      </w:r>
    </w:p>
    <w:p>
      <w:pPr>
        <w:pStyle w:val="VfgPunktff"/>
        <w:numPr>
          <w:ilvl w:val="0"/>
          <w:numId w:val="5"/>
        </w:numPr>
        <w:jc w:val="both"/>
      </w:pPr>
      <w:r>
        <w:t xml:space="preserve">    das Kataster für die ergänzenden Grunderwerbsunterlagen wurde aktualisiert.</w:t>
      </w:r>
    </w:p>
    <w:p>
      <w:pPr>
        <w:pStyle w:val="VfgPunktff"/>
        <w:jc w:val="both"/>
      </w:pPr>
    </w:p>
    <w:p>
      <w:pPr>
        <w:pStyle w:val="VfgPunktff"/>
        <w:jc w:val="both"/>
        <w:rPr>
          <w:b/>
        </w:rPr>
      </w:pPr>
      <w:r>
        <w:rPr>
          <w:b/>
        </w:rPr>
        <w:t>Die entsprechenden Unterlagen standen der Öffentlichkeit bereits vom 15.08.2022 bis zum 14.09.2022 zur Verfügung. Die erneute Bekanntmachung ist aufgrund eines redaktionellen Fehlers erforderlich.</w:t>
      </w:r>
    </w:p>
    <w:p>
      <w:pPr>
        <w:pStyle w:val="VfgPunktff"/>
        <w:jc w:val="both"/>
      </w:pPr>
      <w:r>
        <w:rPr>
          <w:b/>
        </w:rPr>
        <w:t>Es wird darauf hingewiesen, dass  die bislang  in diesem Verfahren vorgebrachten Einwendungen vollumfänglich Berücksichtigung finden.</w:t>
      </w:r>
      <w:r>
        <w:t xml:space="preserve"> </w:t>
      </w:r>
    </w:p>
    <w:p>
      <w:pPr>
        <w:pStyle w:val="VfgPunktff"/>
        <w:jc w:val="both"/>
      </w:pPr>
    </w:p>
    <w:p>
      <w:pPr>
        <w:pStyle w:val="VfgPunktff"/>
        <w:jc w:val="both"/>
      </w:pPr>
    </w:p>
    <w:p>
      <w:pPr>
        <w:ind w:left="425"/>
        <w:jc w:val="both"/>
      </w:pPr>
      <w:r>
        <w:t xml:space="preserve">In Anbetracht der aktuellen COVID-19-Pandemie und der damit verbundenen Kontaktbeschränkungen erfolgt die erneute Beteiligung der Öffentlichkeit durch Veröffentlichung der Planunterlagen im Internet (§ 3 Abs. 1 Satz 1 PlanSiG). Die Planunterlagen stehen in der Zeit vom </w:t>
      </w:r>
      <w:r>
        <w:rPr>
          <w:b/>
        </w:rPr>
        <w:t xml:space="preserve">23.01.2023 bis einschließlich 22.02.2023 </w:t>
      </w:r>
      <w:r>
        <w:t xml:space="preserve">auf der Internetseite der Bezirksregierung Köln unter </w:t>
      </w:r>
      <w:hyperlink r:id="rId7" w:history="1">
        <w:r>
          <w:rPr>
            <w:rStyle w:val="Hyperlink"/>
          </w:rPr>
          <w:t>https://www.bezreg-koeln.nrw.de/brk_internet/verfahren/25_strasse_planfeststellungsverfahren/index.html</w:t>
        </w:r>
      </w:hyperlink>
      <w:r>
        <w:t xml:space="preserve"> zur Verfügung.</w:t>
      </w:r>
    </w:p>
    <w:p>
      <w:pPr>
        <w:pStyle w:val="VfgPunktff"/>
        <w:jc w:val="both"/>
      </w:pPr>
      <w:r>
        <w:t xml:space="preserve">Der Inhalt dieser Bekanntmachung und der vorgenannten, nach § 19 Abs. 2 UVPG auszulegenden Unterlagen ist zusätzlich über das zentrale Internetportal </w:t>
      </w:r>
      <w:hyperlink r:id="rId8" w:history="1">
        <w:r>
          <w:rPr>
            <w:rStyle w:val="Hyperlink"/>
          </w:rPr>
          <w:t>https://uvp-verbund.de/portal/</w:t>
        </w:r>
      </w:hyperlink>
      <w:r>
        <w:t xml:space="preserve">  zugänglich (§ 20 UVPG). Maßgeblich ist der Inhalt der im Internet zur Verfügung gestellten Unterlagen.</w:t>
      </w:r>
    </w:p>
    <w:p>
      <w:pPr>
        <w:pStyle w:val="VfgPunktff"/>
        <w:jc w:val="both"/>
      </w:pPr>
      <w:r>
        <w:t>Als zusätzliches Informationsangebot hat die Bezirksregierung Köln eine Papierfassung der Planunterlagen zur Verfügung gestellt, die im Bedarfsfall bei den Städten Bonn und Sankt Augustin eingesehen werden kann (§ 3 Abs. 2 Satz 1 PlanSiG).</w:t>
      </w:r>
    </w:p>
    <w:p>
      <w:pPr>
        <w:pStyle w:val="VfgPunktff"/>
        <w:spacing w:after="0"/>
        <w:jc w:val="both"/>
      </w:pPr>
      <w:r>
        <w:t xml:space="preserve">Der geänderte Plan (Zeichnungen und Erläuterungen) liegt in der Zeit vom </w:t>
      </w:r>
      <w:r>
        <w:rPr>
          <w:b/>
        </w:rPr>
        <w:t>23.01.2023</w:t>
      </w:r>
      <w:r>
        <w:rPr>
          <w:bCs/>
          <w:color w:val="FF0000"/>
        </w:rPr>
        <w:t xml:space="preserve"> </w:t>
      </w:r>
      <w:r>
        <w:rPr>
          <w:bCs/>
        </w:rPr>
        <w:t xml:space="preserve">bis einschließlich </w:t>
      </w:r>
      <w:r>
        <w:rPr>
          <w:b/>
          <w:bCs/>
        </w:rPr>
        <w:t>22.02.2023</w:t>
      </w:r>
      <w:r>
        <w:t xml:space="preserve"> während der Dienststunden bei der </w:t>
      </w:r>
      <w:r>
        <w:rPr>
          <w:szCs w:val="22"/>
        </w:rPr>
        <w:t xml:space="preserve">Bundesstadt Bonn im Amt für Bodenmanagement und Geoinformation, Bonn, Stadthaus, Berliner Platz 2, Aufzug 2, Etage 6B (Kundenzentrum Geodaten) (Montag, Dienstag, Mittwoch und Freitag von 8 bis 13 Uhr und Donnerstag von 8 Uhr bis 18 Uhr) zur allgemeinen Einsichtnahme öffentlich aus. </w:t>
      </w:r>
      <w:r>
        <w:rPr>
          <w:b/>
          <w:bCs/>
          <w:color w:val="202020"/>
          <w:szCs w:val="22"/>
          <w:shd w:val="clear" w:color="auto" w:fill="FFFFFF"/>
        </w:rPr>
        <w:t xml:space="preserve">Hinweis: Das Kundenzentrum Geodaten ist für Sie geöffnet. Aufgrund der Coronavirus-Krise wird um vorherige Terminvereinbarung gebeten. Sämtliche Dienstleistungen stehen zusätzlich online zur Verfügung. </w:t>
      </w:r>
      <w:r>
        <w:rPr>
          <w:rFonts w:cs="Times New Roman"/>
          <w:b/>
          <w:szCs w:val="22"/>
        </w:rPr>
        <w:t>Das Kundenzentrum im Amt für Bodenmanagement und Geoinformation ist telefonisch oder per E-Mail erreichbar unter:</w:t>
      </w:r>
    </w:p>
    <w:p>
      <w:pPr>
        <w:spacing w:after="0"/>
        <w:ind w:left="426"/>
        <w:jc w:val="both"/>
        <w:rPr>
          <w:rFonts w:cs="Times New Roman"/>
          <w:b/>
          <w:szCs w:val="22"/>
        </w:rPr>
      </w:pPr>
      <w:r>
        <w:rPr>
          <w:rFonts w:cs="Times New Roman"/>
          <w:b/>
          <w:szCs w:val="22"/>
        </w:rPr>
        <w:t>Tel.: 0228 772200.</w:t>
      </w:r>
    </w:p>
    <w:p>
      <w:pPr>
        <w:pStyle w:val="VfgPunktff"/>
        <w:jc w:val="both"/>
      </w:pPr>
      <w:r>
        <w:rPr>
          <w:rFonts w:cs="Times New Roman"/>
          <w:b/>
          <w:szCs w:val="22"/>
        </w:rPr>
        <w:t xml:space="preserve">E-Mail: </w:t>
      </w:r>
      <w:hyperlink r:id="rId9" w:history="1">
        <w:r>
          <w:rPr>
            <w:rFonts w:cs="Times New Roman"/>
            <w:b/>
            <w:iCs/>
            <w:color w:val="0000FF"/>
            <w:szCs w:val="22"/>
            <w:u w:val="single"/>
            <w:bdr w:val="none" w:sz="0" w:space="0" w:color="auto" w:frame="1"/>
            <w:shd w:val="clear" w:color="auto" w:fill="FFFFFF"/>
          </w:rPr>
          <w:t>kundenzentrum-geodaten@bonn.de</w:t>
        </w:r>
      </w:hyperlink>
    </w:p>
    <w:p>
      <w:pPr>
        <w:pStyle w:val="VfgPunktff"/>
        <w:jc w:val="both"/>
      </w:pPr>
    </w:p>
    <w:p>
      <w:pPr>
        <w:pStyle w:val="VfgPunktff"/>
        <w:jc w:val="both"/>
      </w:pPr>
      <w:r>
        <w:t>Die Unterlagen liegen im gleichen Zeitraum ebenfalls bei der Stadtverwaltung Sankt Augustin zur allgemeinen Einsichtnahme öffentlich aus:</w:t>
      </w:r>
    </w:p>
    <w:p>
      <w:pPr>
        <w:pStyle w:val="VfgPunktff"/>
        <w:jc w:val="both"/>
      </w:pPr>
    </w:p>
    <w:p>
      <w:pPr>
        <w:tabs>
          <w:tab w:val="left" w:pos="567"/>
        </w:tabs>
        <w:ind w:left="425"/>
        <w:jc w:val="both"/>
        <w:rPr>
          <w:b/>
        </w:rPr>
      </w:pPr>
      <w:r>
        <w:rPr>
          <w:b/>
        </w:rPr>
        <w:t xml:space="preserve">Stadt Sankt Augustin, </w:t>
      </w:r>
    </w:p>
    <w:p>
      <w:pPr>
        <w:tabs>
          <w:tab w:val="left" w:pos="567"/>
        </w:tabs>
        <w:ind w:left="425"/>
        <w:jc w:val="both"/>
        <w:rPr>
          <w:b/>
        </w:rPr>
      </w:pPr>
      <w:r>
        <w:rPr>
          <w:b/>
        </w:rPr>
        <w:t xml:space="preserve">Technisches Rathaus, </w:t>
      </w:r>
    </w:p>
    <w:p>
      <w:pPr>
        <w:tabs>
          <w:tab w:val="left" w:pos="567"/>
        </w:tabs>
        <w:ind w:left="425"/>
        <w:jc w:val="both"/>
        <w:rPr>
          <w:b/>
        </w:rPr>
      </w:pPr>
      <w:r>
        <w:rPr>
          <w:b/>
        </w:rPr>
        <w:t>Raum 1.20,. 1. OG</w:t>
      </w:r>
    </w:p>
    <w:p>
      <w:pPr>
        <w:tabs>
          <w:tab w:val="left" w:pos="567"/>
        </w:tabs>
        <w:ind w:left="425"/>
        <w:jc w:val="both"/>
        <w:rPr>
          <w:b/>
        </w:rPr>
      </w:pPr>
      <w:r>
        <w:rPr>
          <w:b/>
        </w:rPr>
        <w:t>An der Post 19</w:t>
      </w:r>
    </w:p>
    <w:p>
      <w:pPr>
        <w:tabs>
          <w:tab w:val="left" w:pos="567"/>
        </w:tabs>
        <w:ind w:left="425"/>
        <w:jc w:val="both"/>
        <w:rPr>
          <w:b/>
        </w:rPr>
      </w:pPr>
      <w:r>
        <w:rPr>
          <w:b/>
        </w:rPr>
        <w:t>53757 Sankt Augustin</w:t>
      </w:r>
    </w:p>
    <w:p>
      <w:pPr>
        <w:tabs>
          <w:tab w:val="left" w:pos="567"/>
        </w:tabs>
        <w:ind w:left="425"/>
        <w:jc w:val="both"/>
        <w:rPr>
          <w:b/>
        </w:rPr>
      </w:pPr>
    </w:p>
    <w:p>
      <w:pPr>
        <w:tabs>
          <w:tab w:val="left" w:pos="567"/>
        </w:tabs>
        <w:ind w:left="425"/>
        <w:jc w:val="both"/>
        <w:rPr>
          <w:b/>
        </w:rPr>
      </w:pPr>
      <w:r>
        <w:rPr>
          <w:b/>
        </w:rPr>
        <w:t>Montags 8.30-12.00 Uhr und 14.00-18.00 Uhr</w:t>
      </w:r>
    </w:p>
    <w:p>
      <w:pPr>
        <w:tabs>
          <w:tab w:val="left" w:pos="567"/>
        </w:tabs>
        <w:ind w:left="425"/>
        <w:jc w:val="both"/>
        <w:rPr>
          <w:b/>
        </w:rPr>
      </w:pPr>
      <w:r>
        <w:rPr>
          <w:b/>
        </w:rPr>
        <w:t>Dienstags bis Donnerstags 8.30-12.00 Uhr und 14.00-16.00 Uhr</w:t>
      </w:r>
    </w:p>
    <w:p>
      <w:pPr>
        <w:pStyle w:val="VfgPunktff"/>
        <w:jc w:val="both"/>
        <w:rPr>
          <w:b/>
        </w:rPr>
      </w:pPr>
      <w:r>
        <w:rPr>
          <w:b/>
        </w:rPr>
        <w:t>Freitags 8.30-12.00 Uhr</w:t>
      </w:r>
    </w:p>
    <w:p>
      <w:pPr>
        <w:pStyle w:val="VfgPunktff"/>
        <w:jc w:val="both"/>
        <w:rPr>
          <w:b/>
        </w:rPr>
      </w:pPr>
    </w:p>
    <w:p>
      <w:pPr>
        <w:pStyle w:val="VfgPunktff"/>
        <w:jc w:val="both"/>
      </w:pPr>
      <w:r>
        <w:t xml:space="preserve">Es wird darum gebeten, die aktuellen Hinweise zum Zutritt des Technischen Rathauses zu beachten. Zur Einsichtnahme der Planunterlagen im Technischen Rathaus wird um vorherige telefonische Terminabstimmung bei Herrn Ulrich Kalle unter Tel.: 02241/ 243-726 oder per E-Mail an ulrich.kalle@sankt-augustin.de gebeten (Vertretung: Herr Kukula: 02241/243-419; philipp.kukula@sankt-augustin.de). Sollten diese nicht erreichbar sein, </w:t>
      </w:r>
      <w:r>
        <w:lastRenderedPageBreak/>
        <w:t>wenden Sie sich bitte an die Zentralrufnummer der Stadtverwaltung 02241/243-0 und geben die zuständige Dienststelle (Fachdienst Planung und Liegenschaften) an.</w:t>
      </w:r>
    </w:p>
    <w:p>
      <w:pPr>
        <w:pStyle w:val="VfgPunktff"/>
        <w:jc w:val="both"/>
      </w:pPr>
    </w:p>
    <w:p>
      <w:pPr>
        <w:pStyle w:val="Textkrper-Zeileneinzug"/>
        <w:numPr>
          <w:ilvl w:val="0"/>
          <w:numId w:val="7"/>
        </w:numPr>
      </w:pPr>
      <w:r>
        <w:t xml:space="preserve">Die betroffene Öffentlichkeit, deren Belange durch das Bauvorhaben betroffen werden, kann bis spätestens einem Monat nach Ablauf der Auslegungsfrist, das ist bis zum </w:t>
      </w:r>
      <w:r>
        <w:rPr>
          <w:b/>
        </w:rPr>
        <w:t>22.03.2023 einschließlich</w:t>
      </w:r>
      <w:r>
        <w:t>, bei der Bezirksregierung Köln, Dezernat 25, Zeughausstraße 2-10, 50667 Köln (Anhörungsbehörde) oder bei den Städten Bonn (Bundesstadt Bonn, Amt 61-41, 53103 Bonn) und Sankt Augustin ( Stadt Sankt Augustin, Technisches Rathaus , An der Post 19, 53757 Sankt Augustin) Einwendungen gegen den Plan schriftlich oder zur Niederschrift erheben. Die Äußerungsfrist gilt auch für solche Einwendungen, die sich nicht auf die Umweltauswirkungen des Vorhabens beziehen.</w:t>
      </w:r>
    </w:p>
    <w:p>
      <w:pPr>
        <w:pStyle w:val="Textkrper-Zeileneinzug"/>
        <w:ind w:left="643"/>
      </w:pPr>
      <w:r>
        <w:t>Unabhängig davon kann sich die betroffene Öffentlichkeit innerhalb der gleichen Frist bei der Bezirksregierung Köln oder den Städten Bonn und Sankt Augustin zu den Umweltauswirkungen des Vorhabens schriftlich äußern (§ 21 Abs. 1 UVPG).</w:t>
      </w:r>
    </w:p>
    <w:p>
      <w:pPr>
        <w:spacing w:after="0"/>
        <w:ind w:left="643"/>
        <w:jc w:val="both"/>
        <w:rPr>
          <w:szCs w:val="22"/>
        </w:rPr>
      </w:pPr>
      <w:r>
        <w:rPr>
          <w:szCs w:val="22"/>
        </w:rPr>
        <w:t>Die Erhebung einer fristgerechten Einwendung setzt voraus, dass aus der Einwendung zumindest der geltend gemachte Belang und die Art der Beeinträchtigung hervorgehen, die Einwendung unterschrieben und mit einer den Mindestanforderungen entsprechenden, lesbaren Anschrift versehen ist. Einwendungen ohne diesen Mindestinhalt sind unbeachtlich.</w:t>
      </w:r>
    </w:p>
    <w:p>
      <w:pPr>
        <w:spacing w:after="0"/>
        <w:ind w:left="283"/>
        <w:jc w:val="both"/>
        <w:rPr>
          <w:color w:val="00B050"/>
          <w:szCs w:val="22"/>
        </w:rPr>
      </w:pPr>
    </w:p>
    <w:p>
      <w:pPr>
        <w:spacing w:after="0"/>
        <w:ind w:left="708"/>
        <w:jc w:val="both"/>
        <w:rPr>
          <w:szCs w:val="22"/>
        </w:rPr>
      </w:pPr>
      <w:r>
        <w:rPr>
          <w:szCs w:val="22"/>
        </w:rPr>
        <w:t>Gem. § 3a VwVfG sind Einwendungen, die per E-Mail erhoben werden, nur zulässig, wenn die Empfängerbehörde hierfür einen Zugang eröffnet hat und die E-Mails mit einer qualifizierten elektronischen Signatur nach dem Signaturgesetz versehen sind. Eine Signierung mit einem Pseudonym ist nicht zulässig.</w:t>
      </w:r>
    </w:p>
    <w:p>
      <w:pPr>
        <w:spacing w:after="0"/>
        <w:ind w:left="283"/>
        <w:jc w:val="both"/>
        <w:rPr>
          <w:color w:val="00B050"/>
          <w:szCs w:val="22"/>
        </w:rPr>
      </w:pPr>
    </w:p>
    <w:p>
      <w:pPr>
        <w:spacing w:after="0"/>
        <w:ind w:left="708"/>
        <w:jc w:val="both"/>
        <w:rPr>
          <w:szCs w:val="22"/>
        </w:rPr>
      </w:pPr>
      <w:r>
        <w:rPr>
          <w:szCs w:val="22"/>
        </w:rPr>
        <w:t>Die Bezirksregierung Köln hat diesen Zugang eröffnet und es gilt Folgendes:</w:t>
      </w:r>
      <w:r>
        <w:rPr>
          <w:szCs w:val="22"/>
        </w:rPr>
        <w:br/>
        <w:t>Die Einwendung kann auch durch Übermittlung eines elektronischen Dokuments mit qualifizierter elektronischer Signatur an die elektronische Poststelle der Bezirksregierung Köln erhoben werden. Die E-Mail-Adresse lautet: poststelle@brk.sec.nrw.de.</w:t>
      </w:r>
      <w:r>
        <w:rPr>
          <w:szCs w:val="22"/>
        </w:rPr>
        <w:br/>
        <w:t xml:space="preserve">Die Einwendung kann auch durch De-Mail in der Sendevariante mit bestätigter sicherer Anmeldung nach dem De-Mail-Gesetz bei der Bezirksregierung Köln erhoben werden. Die De-Mail-Adresse lautet: </w:t>
      </w:r>
      <w:hyperlink r:id="rId10" w:history="1">
        <w:r>
          <w:rPr>
            <w:szCs w:val="22"/>
          </w:rPr>
          <w:t>poststelle@brk-nrw.de-mail.de</w:t>
        </w:r>
      </w:hyperlink>
      <w:r>
        <w:rPr>
          <w:szCs w:val="22"/>
        </w:rPr>
        <w:t>.</w:t>
      </w:r>
    </w:p>
    <w:p>
      <w:pPr>
        <w:spacing w:after="0"/>
        <w:ind w:left="283"/>
        <w:jc w:val="both"/>
        <w:rPr>
          <w:szCs w:val="22"/>
        </w:rPr>
      </w:pPr>
    </w:p>
    <w:p>
      <w:pPr>
        <w:numPr>
          <w:ilvl w:val="12"/>
          <w:numId w:val="0"/>
        </w:numPr>
        <w:spacing w:after="0"/>
        <w:ind w:left="708"/>
        <w:jc w:val="both"/>
      </w:pPr>
      <w:r>
        <w:rPr>
          <w:szCs w:val="22"/>
        </w:rPr>
        <w:t>Nach Ablauf der Frist sind Einwendungen und Äußerungen ausgeschlossen (§ 21 Abs. 4 Satz 1 und Abs. 5 UVPG)</w:t>
      </w:r>
      <w:r>
        <w:t xml:space="preserve">. Der Ausschluss beschränkt sich nur auf das Verwaltungsverfahren. </w:t>
      </w:r>
    </w:p>
    <w:p>
      <w:pPr>
        <w:numPr>
          <w:ilvl w:val="12"/>
          <w:numId w:val="0"/>
        </w:numPr>
        <w:spacing w:after="0"/>
        <w:ind w:left="283"/>
        <w:jc w:val="both"/>
        <w:rPr>
          <w:szCs w:val="22"/>
        </w:rPr>
      </w:pPr>
    </w:p>
    <w:p>
      <w:pPr>
        <w:pStyle w:val="VfgPunktff"/>
        <w:ind w:left="708"/>
        <w:jc w:val="both"/>
      </w:pPr>
      <w:r>
        <w:rPr>
          <w:szCs w:val="22"/>
        </w:rPr>
        <w:t>Einwendungen, die von mehr als 50 Personen auf Unterschriftslisten unterzeichnet oder in Form vervielfältigter gleichlautender Texte eingereicht werden (gleichförmige Eingaben): Auf jeder, mit einer Unterschrift versehenen Seite, ist ein/e Unterzeichner/in mit vollständigem Namen und Anschrift als Vertreter/in der übrigen Unterzeichner/innen zu benennen. Andernfalls können diese Einwendungen unberücksichtigt bleiben.</w:t>
      </w:r>
    </w:p>
    <w:p>
      <w:pPr>
        <w:pStyle w:val="Textkrper-Zeileneinzug"/>
        <w:ind w:left="703" w:hanging="420"/>
      </w:pPr>
      <w:r>
        <w:t>2.</w:t>
      </w:r>
      <w:r>
        <w:tab/>
        <w:t xml:space="preserve">Im Rahmen des Anhörungsverfahrens werden personenbezogene Daten erhoben. Informationen zu dieser Datenerhebung können Sie unter </w:t>
      </w:r>
      <w:hyperlink r:id="rId11" w:history="1">
        <w:r>
          <w:rPr>
            <w:rStyle w:val="Hyperlink"/>
          </w:rPr>
          <w:t>https://www.bezreg-koeln.nrw.de/brk_internet/leistungen/abteilung02/25/planfeststellung/datenschutz_planfeststellung.pdf</w:t>
        </w:r>
      </w:hyperlink>
      <w:r>
        <w:t xml:space="preserve"> einsehen.</w:t>
      </w:r>
    </w:p>
    <w:p>
      <w:pPr>
        <w:pStyle w:val="Textkrper-Zeileneinzug"/>
        <w:ind w:left="703" w:hanging="420"/>
      </w:pPr>
      <w:r>
        <w:t>3.</w:t>
      </w:r>
      <w:r>
        <w:tab/>
        <w:t>Die Anhörungsbehörde kann unter Voraussetzungen des § 17a Abs. 1 FStrG auf eine Erörterung der rechtzeitig erhobenen Stellungnahmen, Einwendungen und Äußerungen verzichten.</w:t>
      </w:r>
    </w:p>
    <w:p>
      <w:pPr>
        <w:pStyle w:val="Textkrper-Zeileneinzug"/>
        <w:ind w:left="703"/>
      </w:pPr>
      <w:r>
        <w:t>Findet ein Erörterungstermin statt, wird dieser zuvor ortsüblich bekannt gemacht. Ferner werden diejenigen, die fristgerecht Stellungnahmen und Äußerungen eingereicht sowie Einwendungen erhoben haben, bzw. bei gleichförmigen Einwendungen und/oder Äußerungen wird der Vertreter/ die Vertreterin, von dem Termin gesondert benachrichtigt (§ 17 VwVfG NRW).</w:t>
      </w:r>
    </w:p>
    <w:p>
      <w:pPr>
        <w:pStyle w:val="Textkrper-Zeileneinzug"/>
        <w:ind w:left="703"/>
      </w:pPr>
      <w:r>
        <w:t>Sind mehr als 50 Benachrichtigungen vorzunehmen, so können sie durch öffentliche Bekanntmachung ersetzt werden.</w:t>
      </w:r>
    </w:p>
    <w:p>
      <w:pPr>
        <w:pStyle w:val="Textkrper-Zeileneinzug"/>
        <w:ind w:left="703"/>
      </w:pPr>
      <w:r>
        <w:t>Die Vertretung durch einen Bevollmächtigten ist möglich. Die Bevollmächtigung ist durch eine schriftliche Vollmacht nachzuweisen, die zu den Akten der Anhörungsbehörde zu geben ist.</w:t>
      </w:r>
    </w:p>
    <w:p>
      <w:pPr>
        <w:pStyle w:val="Textkrper-Zeileneinzug"/>
        <w:ind w:left="703"/>
      </w:pPr>
      <w:r>
        <w:t>Bei Ausbleiben eines Beteiligten in dem Erörterungstermin kann auch ohne ihn verhandelt werden. Das Anhörungsverfahren ist mit Abschluss des Erörterungstermins beendet.</w:t>
      </w:r>
    </w:p>
    <w:p>
      <w:pPr>
        <w:pStyle w:val="Textkrper-Zeileneinzug"/>
        <w:ind w:left="0" w:firstLine="703"/>
      </w:pPr>
      <w:r>
        <w:t>Der Erörterungstermin ist nicht öffentlich.</w:t>
      </w:r>
    </w:p>
    <w:p>
      <w:pPr>
        <w:numPr>
          <w:ilvl w:val="12"/>
          <w:numId w:val="0"/>
        </w:numPr>
        <w:ind w:left="703" w:hanging="703"/>
        <w:jc w:val="both"/>
      </w:pPr>
      <w:r>
        <w:t>4.</w:t>
      </w:r>
      <w:r>
        <w:tab/>
      </w:r>
      <w:r>
        <w:tab/>
        <w:t>Durch Einsichtnahme in die Planunterlagen, Erhebung von Einwendungen und Stellungnahmen, Teilnahme am Erörterungstermin oder Vertreterbestellung entstehende Kosten werden nicht erstattet.</w:t>
      </w:r>
    </w:p>
    <w:p>
      <w:pPr>
        <w:numPr>
          <w:ilvl w:val="12"/>
          <w:numId w:val="0"/>
        </w:numPr>
        <w:ind w:left="703" w:hanging="703"/>
        <w:jc w:val="both"/>
      </w:pPr>
      <w:r>
        <w:t>5.</w:t>
      </w:r>
      <w:r>
        <w:tab/>
      </w:r>
      <w:r>
        <w:tab/>
        <w:t>Entschädigungsansprüche, soweit über sie nicht in der Planfeststellung dem Grunde nach zu entscheiden ist, werden nicht in dem Erörterungstermin, sondern in einem gesonderten Entschädigungsverfahren behandelt.</w:t>
      </w:r>
    </w:p>
    <w:p>
      <w:pPr>
        <w:numPr>
          <w:ilvl w:val="12"/>
          <w:numId w:val="0"/>
        </w:numPr>
        <w:ind w:left="703" w:hanging="703"/>
        <w:jc w:val="both"/>
      </w:pPr>
      <w:r>
        <w:t>6.</w:t>
      </w:r>
      <w:r>
        <w:tab/>
      </w:r>
      <w:r>
        <w:tab/>
        <w:t>Über die Einwendungen und Stellungnahmen wird nach Abschluss des Anhörungsverfahrens durch die Planfeststellungsbehörde entschieden. Die Zustellung der Entscheidung (Planfeststellungsbeschluss) an die Einwender/innen und diejenigen, die eine Stellungnahme abgegeben haben, kann durch öffentliche Bekanntmachung ersetzt werden, wenn mehr als 50 Zustellungen vorzunehmen sind.</w:t>
      </w:r>
    </w:p>
    <w:p>
      <w:pPr>
        <w:ind w:left="703" w:hanging="703"/>
      </w:pPr>
      <w:r>
        <w:t>7.</w:t>
      </w:r>
      <w:r>
        <w:tab/>
      </w:r>
      <w:r>
        <w:tab/>
        <w:t>Ab Beginn der Auslegung des Planes tritt die Veränderungssperre nach § 9a Abs. 1 FStrG in Kraft. Darüber hinaus steht ab diesem Zeitpunkt dem Vorhabenträger ein Vorkaufsrecht an den vom Plan betroffenen Flächen zu.</w:t>
      </w:r>
    </w:p>
    <w:p>
      <w:pPr>
        <w:ind w:left="283" w:hanging="283"/>
      </w:pPr>
      <w:r>
        <w:t>8.</w:t>
      </w:r>
      <w:r>
        <w:tab/>
      </w:r>
      <w:r>
        <w:tab/>
        <w:t>Da das Vorhaben UVP-pflichtig ist, wird darauf hingewiesen,</w:t>
      </w:r>
    </w:p>
    <w:p>
      <w:pPr>
        <w:ind w:left="703" w:hanging="420"/>
      </w:pPr>
      <w:r>
        <w:t>-</w:t>
      </w:r>
      <w:r>
        <w:tab/>
        <w:t>dass die Bezirksregierung Köln die für das Verfahren und die für die Entscheidung über die Zulässigkeit des Vorhabens zuständige Behörde ist,</w:t>
      </w:r>
    </w:p>
    <w:p>
      <w:pPr>
        <w:ind w:left="703" w:hanging="420"/>
      </w:pPr>
      <w:r>
        <w:t>-</w:t>
      </w:r>
      <w:r>
        <w:tab/>
        <w:t>dass über die Zulässigkeit des Vorhabens durch Planfeststellungsbeschluss entschieden werden wird,</w:t>
      </w:r>
    </w:p>
    <w:p>
      <w:pPr>
        <w:ind w:left="703" w:hanging="420"/>
      </w:pPr>
      <w:r>
        <w:t>-</w:t>
      </w:r>
      <w:r>
        <w:tab/>
        <w:t>dass die ausgelegten Planunterlagen die nach § 16 Abs. 1 UVPG notwendigen Angaben enthalten und</w:t>
      </w:r>
    </w:p>
    <w:p>
      <w:pPr>
        <w:ind w:left="703" w:hanging="420"/>
      </w:pPr>
      <w:r>
        <w:t>-</w:t>
      </w:r>
      <w:r>
        <w:tab/>
        <w:t>dass die Anhörung zu den ausgelegten Planunterlagen auch die Einbeziehung der Öffentlichkeit zu den Umweltauswirkungen des Vorhabens gem. § 18 Abs. 1 UVPG voraussetzt und dies erfolgt ist.</w:t>
      </w:r>
    </w:p>
    <w:p>
      <w:pPr>
        <w:ind w:left="703" w:hanging="420"/>
      </w:pPr>
    </w:p>
    <w:p>
      <w:pPr>
        <w:jc w:val="both"/>
        <w:rPr>
          <w:szCs w:val="24"/>
        </w:rPr>
      </w:pPr>
      <w:r>
        <w:rPr>
          <w:szCs w:val="24"/>
        </w:rPr>
        <w:t xml:space="preserve">                                                                                   gez. Henze</w:t>
      </w:r>
    </w:p>
    <w:p>
      <w:r>
        <w:t>...............................................................</w:t>
      </w:r>
      <w:r>
        <w:tab/>
      </w:r>
      <w:r>
        <w:tab/>
        <w:t>...............................</w:t>
      </w:r>
    </w:p>
    <w:p>
      <w:pPr>
        <w:rPr>
          <w:sz w:val="16"/>
        </w:rPr>
      </w:pPr>
      <w:r>
        <w:rPr>
          <w:sz w:val="16"/>
        </w:rPr>
        <w:t>(Amtliches Veröffentlichungsblatt der Bezirksregierung Köln)</w:t>
      </w:r>
      <w:r>
        <w:rPr>
          <w:sz w:val="16"/>
        </w:rPr>
        <w:tab/>
      </w:r>
      <w:r>
        <w:rPr>
          <w:sz w:val="16"/>
        </w:rPr>
        <w:tab/>
      </w:r>
      <w:r>
        <w:rPr>
          <w:sz w:val="16"/>
        </w:rPr>
        <w:tab/>
        <w:t>(Unterschrift)</w:t>
      </w:r>
    </w:p>
    <w:p>
      <w:pPr>
        <w:jc w:val="both"/>
        <w:rPr>
          <w:szCs w:val="24"/>
        </w:rPr>
      </w:pPr>
    </w:p>
    <w:p/>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9BA"/>
    <w:multiLevelType w:val="hybridMultilevel"/>
    <w:tmpl w:val="A676A896"/>
    <w:lvl w:ilvl="0" w:tplc="1E0AD93E">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1" w15:restartNumberingAfterBreak="0">
    <w:nsid w:val="179F6940"/>
    <w:multiLevelType w:val="hybridMultilevel"/>
    <w:tmpl w:val="43FA25DC"/>
    <w:lvl w:ilvl="0" w:tplc="AFFA9212">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 w15:restartNumberingAfterBreak="0">
    <w:nsid w:val="44122D68"/>
    <w:multiLevelType w:val="hybridMultilevel"/>
    <w:tmpl w:val="77BC0632"/>
    <w:lvl w:ilvl="0" w:tplc="0407000F">
      <w:start w:val="4"/>
      <w:numFmt w:val="decimal"/>
      <w:lvlText w:val="%1."/>
      <w:lvlJc w:val="left"/>
      <w:pPr>
        <w:tabs>
          <w:tab w:val="num" w:pos="785"/>
        </w:tabs>
        <w:ind w:left="785" w:hanging="360"/>
      </w:pPr>
      <w:rPr>
        <w:rFonts w:hint="default"/>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3" w15:restartNumberingAfterBreak="0">
    <w:nsid w:val="67D53524"/>
    <w:multiLevelType w:val="hybridMultilevel"/>
    <w:tmpl w:val="A968A078"/>
    <w:lvl w:ilvl="0" w:tplc="A972FAF2">
      <w:start w:val="8"/>
      <w:numFmt w:val="bullet"/>
      <w:lvlText w:val="-"/>
      <w:lvlJc w:val="left"/>
      <w:pPr>
        <w:ind w:left="3042" w:hanging="360"/>
      </w:pPr>
      <w:rPr>
        <w:rFonts w:ascii="Arial" w:eastAsia="Times New Roman" w:hAnsi="Arial" w:cs="Arial" w:hint="default"/>
      </w:rPr>
    </w:lvl>
    <w:lvl w:ilvl="1" w:tplc="04070003">
      <w:start w:val="1"/>
      <w:numFmt w:val="bullet"/>
      <w:lvlText w:val="o"/>
      <w:lvlJc w:val="left"/>
      <w:pPr>
        <w:ind w:left="3762" w:hanging="360"/>
      </w:pPr>
      <w:rPr>
        <w:rFonts w:ascii="Courier New" w:hAnsi="Courier New" w:cs="Courier New" w:hint="default"/>
      </w:rPr>
    </w:lvl>
    <w:lvl w:ilvl="2" w:tplc="04070005" w:tentative="1">
      <w:start w:val="1"/>
      <w:numFmt w:val="bullet"/>
      <w:lvlText w:val=""/>
      <w:lvlJc w:val="left"/>
      <w:pPr>
        <w:ind w:left="4482" w:hanging="360"/>
      </w:pPr>
      <w:rPr>
        <w:rFonts w:ascii="Wingdings" w:hAnsi="Wingdings" w:hint="default"/>
      </w:rPr>
    </w:lvl>
    <w:lvl w:ilvl="3" w:tplc="04070001" w:tentative="1">
      <w:start w:val="1"/>
      <w:numFmt w:val="bullet"/>
      <w:lvlText w:val=""/>
      <w:lvlJc w:val="left"/>
      <w:pPr>
        <w:ind w:left="5202" w:hanging="360"/>
      </w:pPr>
      <w:rPr>
        <w:rFonts w:ascii="Symbol" w:hAnsi="Symbol" w:hint="default"/>
      </w:rPr>
    </w:lvl>
    <w:lvl w:ilvl="4" w:tplc="04070003" w:tentative="1">
      <w:start w:val="1"/>
      <w:numFmt w:val="bullet"/>
      <w:lvlText w:val="o"/>
      <w:lvlJc w:val="left"/>
      <w:pPr>
        <w:ind w:left="5922" w:hanging="360"/>
      </w:pPr>
      <w:rPr>
        <w:rFonts w:ascii="Courier New" w:hAnsi="Courier New" w:cs="Courier New" w:hint="default"/>
      </w:rPr>
    </w:lvl>
    <w:lvl w:ilvl="5" w:tplc="04070005" w:tentative="1">
      <w:start w:val="1"/>
      <w:numFmt w:val="bullet"/>
      <w:lvlText w:val=""/>
      <w:lvlJc w:val="left"/>
      <w:pPr>
        <w:ind w:left="6642" w:hanging="360"/>
      </w:pPr>
      <w:rPr>
        <w:rFonts w:ascii="Wingdings" w:hAnsi="Wingdings" w:hint="default"/>
      </w:rPr>
    </w:lvl>
    <w:lvl w:ilvl="6" w:tplc="04070001" w:tentative="1">
      <w:start w:val="1"/>
      <w:numFmt w:val="bullet"/>
      <w:lvlText w:val=""/>
      <w:lvlJc w:val="left"/>
      <w:pPr>
        <w:ind w:left="7362" w:hanging="360"/>
      </w:pPr>
      <w:rPr>
        <w:rFonts w:ascii="Symbol" w:hAnsi="Symbol" w:hint="default"/>
      </w:rPr>
    </w:lvl>
    <w:lvl w:ilvl="7" w:tplc="04070003" w:tentative="1">
      <w:start w:val="1"/>
      <w:numFmt w:val="bullet"/>
      <w:lvlText w:val="o"/>
      <w:lvlJc w:val="left"/>
      <w:pPr>
        <w:ind w:left="8082" w:hanging="360"/>
      </w:pPr>
      <w:rPr>
        <w:rFonts w:ascii="Courier New" w:hAnsi="Courier New" w:cs="Courier New" w:hint="default"/>
      </w:rPr>
    </w:lvl>
    <w:lvl w:ilvl="8" w:tplc="04070005" w:tentative="1">
      <w:start w:val="1"/>
      <w:numFmt w:val="bullet"/>
      <w:lvlText w:val=""/>
      <w:lvlJc w:val="left"/>
      <w:pPr>
        <w:ind w:left="8802" w:hanging="360"/>
      </w:pPr>
      <w:rPr>
        <w:rFonts w:ascii="Wingdings" w:hAnsi="Wingdings" w:hint="default"/>
      </w:rPr>
    </w:lvl>
  </w:abstractNum>
  <w:abstractNum w:abstractNumId="4" w15:restartNumberingAfterBreak="0">
    <w:nsid w:val="67F31835"/>
    <w:multiLevelType w:val="hybridMultilevel"/>
    <w:tmpl w:val="2652655A"/>
    <w:lvl w:ilvl="0" w:tplc="916C471A">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5" w15:restartNumberingAfterBreak="0">
    <w:nsid w:val="6E6B4D89"/>
    <w:multiLevelType w:val="hybridMultilevel"/>
    <w:tmpl w:val="B64AC7CE"/>
    <w:lvl w:ilvl="0" w:tplc="04070017">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774737DB"/>
    <w:multiLevelType w:val="hybridMultilevel"/>
    <w:tmpl w:val="6B56349A"/>
    <w:lvl w:ilvl="0" w:tplc="910E2B7A">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6060B-0D78-4803-877B-21873D8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40" w:lineRule="auto"/>
    </w:pPr>
    <w:rPr>
      <w:rFonts w:ascii="Arial" w:eastAsia="Times New Roman" w:hAnsi="Arial"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fgPunktff">
    <w:name w:val="VfgPunktff"/>
    <w:basedOn w:val="Standard"/>
    <w:pPr>
      <w:tabs>
        <w:tab w:val="left" w:pos="567"/>
      </w:tabs>
      <w:ind w:left="425"/>
    </w:pPr>
  </w:style>
  <w:style w:type="character" w:styleId="Hyperlink">
    <w:name w:val="Hyperlink"/>
    <w:basedOn w:val="Absatz-Standardschriftart"/>
    <w:rPr>
      <w:color w:val="0000FF" w:themeColor="hyperlink"/>
      <w:u w:val="single"/>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styleId="Textkrper">
    <w:name w:val="Body Text"/>
    <w:basedOn w:val="Standard"/>
    <w:link w:val="TextkrperZchn"/>
    <w:pPr>
      <w:spacing w:after="0"/>
      <w:jc w:val="both"/>
    </w:pPr>
  </w:style>
  <w:style w:type="character" w:customStyle="1" w:styleId="TextkrperZchn">
    <w:name w:val="Textkörper Zchn"/>
    <w:basedOn w:val="Absatz-Standardschriftart"/>
    <w:link w:val="Textkrper"/>
    <w:rPr>
      <w:rFonts w:ascii="Arial" w:eastAsia="Times New Roman" w:hAnsi="Arial" w:cs="Arial"/>
      <w:szCs w:val="20"/>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eastAsia="Times New Roman" w:hAnsi="Arial" w:cs="Arial"/>
      <w:szCs w:val="20"/>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eastAsia="Times New Roman" w:hAnsi="Arial" w:cs="Arial"/>
      <w:szCs w:val="20"/>
      <w:lang w:eastAsia="de-DE"/>
    </w:rPr>
  </w:style>
  <w:style w:type="paragraph" w:styleId="Textkrper-Zeileneinzug">
    <w:name w:val="Body Text Indent"/>
    <w:basedOn w:val="Standard"/>
    <w:link w:val="Textkrper-ZeileneinzugZchn"/>
    <w:uiPriority w:val="99"/>
    <w:unhideWhenUsed/>
    <w:pPr>
      <w:ind w:left="283"/>
    </w:pPr>
  </w:style>
  <w:style w:type="character" w:customStyle="1" w:styleId="Textkrper-ZeileneinzugZchn">
    <w:name w:val="Textkörper-Zeileneinzug Zchn"/>
    <w:basedOn w:val="Absatz-Standardschriftart"/>
    <w:link w:val="Textkrper-Zeileneinzug"/>
    <w:uiPriority w:val="99"/>
    <w:rPr>
      <w:rFonts w:ascii="Arial" w:eastAsia="Times New Roman" w:hAnsi="Arial" w:cs="Arial"/>
      <w:szCs w:val="20"/>
      <w:lang w:eastAsia="de-DE"/>
    </w:rPr>
  </w:style>
  <w:style w:type="paragraph" w:styleId="NurText">
    <w:name w:val="Plain Text"/>
    <w:basedOn w:val="Standard"/>
    <w:link w:val="NurTextZchn"/>
    <w:uiPriority w:val="99"/>
    <w:semiHidden/>
    <w:unhideWhenUsed/>
    <w:pPr>
      <w:spacing w:after="0"/>
    </w:pPr>
    <w:rPr>
      <w:rFonts w:ascii="Consolas" w:hAnsi="Consolas"/>
      <w:sz w:val="21"/>
      <w:szCs w:val="21"/>
    </w:rPr>
  </w:style>
  <w:style w:type="character" w:customStyle="1" w:styleId="NurTextZchn">
    <w:name w:val="Nur Text Zchn"/>
    <w:basedOn w:val="Absatz-Standardschriftart"/>
    <w:link w:val="NurText"/>
    <w:uiPriority w:val="99"/>
    <w:semiHidden/>
    <w:rPr>
      <w:rFonts w:ascii="Consolas" w:eastAsia="Times New Roman" w:hAnsi="Consolas" w:cs="Arial"/>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79382">
      <w:bodyDiv w:val="1"/>
      <w:marLeft w:val="0"/>
      <w:marRight w:val="0"/>
      <w:marTop w:val="0"/>
      <w:marBottom w:val="0"/>
      <w:divBdr>
        <w:top w:val="none" w:sz="0" w:space="0" w:color="auto"/>
        <w:left w:val="none" w:sz="0" w:space="0" w:color="auto"/>
        <w:bottom w:val="none" w:sz="0" w:space="0" w:color="auto"/>
        <w:right w:val="none" w:sz="0" w:space="0" w:color="auto"/>
      </w:divBdr>
    </w:div>
    <w:div w:id="1042243333">
      <w:bodyDiv w:val="1"/>
      <w:marLeft w:val="0"/>
      <w:marRight w:val="0"/>
      <w:marTop w:val="0"/>
      <w:marBottom w:val="0"/>
      <w:divBdr>
        <w:top w:val="none" w:sz="0" w:space="0" w:color="auto"/>
        <w:left w:val="none" w:sz="0" w:space="0" w:color="auto"/>
        <w:bottom w:val="none" w:sz="0" w:space="0" w:color="auto"/>
        <w:right w:val="none" w:sz="0" w:space="0" w:color="auto"/>
      </w:divBdr>
    </w:div>
    <w:div w:id="1552109027">
      <w:bodyDiv w:val="1"/>
      <w:marLeft w:val="0"/>
      <w:marRight w:val="0"/>
      <w:marTop w:val="0"/>
      <w:marBottom w:val="0"/>
      <w:divBdr>
        <w:top w:val="none" w:sz="0" w:space="0" w:color="auto"/>
        <w:left w:val="none" w:sz="0" w:space="0" w:color="auto"/>
        <w:bottom w:val="none" w:sz="0" w:space="0" w:color="auto"/>
        <w:right w:val="none" w:sz="0" w:space="0" w:color="auto"/>
      </w:divBdr>
    </w:div>
    <w:div w:id="18887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p-verbund.de/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zreg-koeln.nrw.de/brk_internet/verfahren/25_strasse_planfeststellungsverfahren/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zreg-koeln.nrw.de/brk_internet/leistungen/abteilung02/25/planfeststellung/datenschutz_planfeststellung.pdf" TargetMode="External"/><Relationship Id="rId5" Type="http://schemas.openxmlformats.org/officeDocument/2006/relationships/footnotes" Target="footnotes.xml"/><Relationship Id="rId10" Type="http://schemas.openxmlformats.org/officeDocument/2006/relationships/hyperlink" Target="mailto:poststelle@brk-nrw.de-mail.de" TargetMode="External"/><Relationship Id="rId4" Type="http://schemas.openxmlformats.org/officeDocument/2006/relationships/webSettings" Target="webSettings.xml"/><Relationship Id="rId9" Type="http://schemas.openxmlformats.org/officeDocument/2006/relationships/hyperlink" Target="mailto:kundenzentrum-geodaten@bon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10182</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Stadt Köln</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kellerg</dc:creator>
  <cp:lastModifiedBy>Bierbaum, Michael</cp:lastModifiedBy>
  <cp:revision>2</cp:revision>
  <cp:lastPrinted>2016-01-19T16:04:00Z</cp:lastPrinted>
  <dcterms:created xsi:type="dcterms:W3CDTF">2023-01-13T10:26:00Z</dcterms:created>
  <dcterms:modified xsi:type="dcterms:W3CDTF">2023-01-13T10:26:00Z</dcterms:modified>
</cp:coreProperties>
</file>