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30" w:rsidRPr="00307D53" w:rsidRDefault="003C1530" w:rsidP="003C1530">
      <w:pPr>
        <w:tabs>
          <w:tab w:val="left" w:pos="567"/>
          <w:tab w:val="left" w:pos="1134"/>
        </w:tabs>
        <w:spacing w:after="220" w:line="360" w:lineRule="auto"/>
        <w:jc w:val="center"/>
        <w:rPr>
          <w:rFonts w:ascii="Arial" w:eastAsia="Times New Roman" w:hAnsi="Arial" w:cs="Arial"/>
          <w:lang w:eastAsia="de-DE"/>
        </w:rPr>
      </w:pPr>
      <w:r w:rsidRPr="00307D53">
        <w:rPr>
          <w:rFonts w:ascii="Arial" w:eastAsia="Times New Roman" w:hAnsi="Arial" w:cs="Arial"/>
          <w:b/>
          <w:bCs/>
          <w:lang w:eastAsia="de-DE"/>
        </w:rPr>
        <w:t>Feststellung gemäß § 5 UVPG</w:t>
      </w:r>
      <w:r w:rsidRPr="00307D53">
        <w:rPr>
          <w:rFonts w:ascii="Arial" w:eastAsia="Times New Roman" w:hAnsi="Arial" w:cs="Arial"/>
          <w:b/>
          <w:bCs/>
          <w:lang w:eastAsia="de-DE"/>
        </w:rPr>
        <w:br/>
      </w:r>
      <w:r w:rsidR="00CF7768">
        <w:rPr>
          <w:rFonts w:ascii="Arial" w:eastAsia="Times New Roman" w:hAnsi="Arial" w:cs="Arial"/>
          <w:b/>
          <w:bCs/>
          <w:lang w:eastAsia="de-DE"/>
        </w:rPr>
        <w:t>Deneke Autoverwertung GmbH</w:t>
      </w:r>
      <w:r w:rsidRPr="00307D53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307D53">
        <w:rPr>
          <w:rFonts w:ascii="Arial" w:eastAsia="Times New Roman" w:hAnsi="Arial" w:cs="Arial"/>
          <w:b/>
          <w:bCs/>
          <w:lang w:eastAsia="de-DE"/>
        </w:rPr>
        <w:br/>
      </w:r>
      <w:r w:rsidRPr="00307D53">
        <w:rPr>
          <w:rFonts w:ascii="Arial" w:eastAsia="Times New Roman" w:hAnsi="Arial" w:cs="Arial"/>
          <w:b/>
          <w:bCs/>
          <w:lang w:eastAsia="de-DE"/>
        </w:rPr>
        <w:br/>
        <w:t xml:space="preserve">GAA v. </w:t>
      </w:r>
      <w:r w:rsidR="001C7F9C">
        <w:rPr>
          <w:rFonts w:ascii="Arial" w:eastAsia="Times New Roman" w:hAnsi="Arial" w:cs="Arial"/>
          <w:b/>
          <w:bCs/>
          <w:lang w:eastAsia="de-DE"/>
        </w:rPr>
        <w:t>20</w:t>
      </w:r>
      <w:bookmarkStart w:id="0" w:name="_GoBack"/>
      <w:bookmarkEnd w:id="0"/>
      <w:r w:rsidR="00CF7768">
        <w:rPr>
          <w:rFonts w:ascii="Arial" w:eastAsia="Times New Roman" w:hAnsi="Arial" w:cs="Arial"/>
          <w:b/>
          <w:bCs/>
          <w:lang w:eastAsia="de-DE"/>
        </w:rPr>
        <w:t>.09</w:t>
      </w:r>
      <w:r>
        <w:rPr>
          <w:rFonts w:ascii="Arial" w:eastAsia="Times New Roman" w:hAnsi="Arial" w:cs="Arial"/>
          <w:b/>
          <w:bCs/>
          <w:lang w:eastAsia="de-DE"/>
        </w:rPr>
        <w:t>.2023</w:t>
      </w:r>
    </w:p>
    <w:p w:rsidR="003C1530" w:rsidRDefault="003C1530" w:rsidP="003C1530">
      <w:pPr>
        <w:tabs>
          <w:tab w:val="left" w:pos="567"/>
          <w:tab w:val="left" w:pos="1134"/>
        </w:tabs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3C1530" w:rsidRDefault="003C1530" w:rsidP="003C1530">
      <w:pPr>
        <w:tabs>
          <w:tab w:val="left" w:pos="567"/>
          <w:tab w:val="left" w:pos="1134"/>
        </w:tabs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Mit Antrag vom </w:t>
      </w:r>
      <w:r w:rsidR="00445595">
        <w:rPr>
          <w:rFonts w:ascii="Arial" w:eastAsia="Times New Roman" w:hAnsi="Arial" w:cs="Arial"/>
          <w:lang w:eastAsia="de-DE"/>
        </w:rPr>
        <w:t>23.05.2023</w:t>
      </w:r>
      <w:r>
        <w:rPr>
          <w:rFonts w:ascii="Arial" w:eastAsia="Times New Roman" w:hAnsi="Arial" w:cs="Arial"/>
          <w:lang w:eastAsia="de-DE"/>
        </w:rPr>
        <w:t xml:space="preserve"> beantragte die Firma </w:t>
      </w:r>
      <w:proofErr w:type="spellStart"/>
      <w:r w:rsidR="00112BC5">
        <w:rPr>
          <w:rFonts w:ascii="Arial" w:eastAsia="Times New Roman" w:hAnsi="Arial" w:cs="Arial"/>
          <w:lang w:eastAsia="de-DE"/>
        </w:rPr>
        <w:t>Deneke</w:t>
      </w:r>
      <w:proofErr w:type="spellEnd"/>
      <w:r w:rsidR="00112BC5">
        <w:rPr>
          <w:rFonts w:ascii="Arial" w:eastAsia="Times New Roman" w:hAnsi="Arial" w:cs="Arial"/>
          <w:lang w:eastAsia="de-DE"/>
        </w:rPr>
        <w:t xml:space="preserve"> Autoverwertung GmbH</w:t>
      </w:r>
      <w:r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="00112BC5">
        <w:rPr>
          <w:rFonts w:ascii="Arial" w:eastAsia="Times New Roman" w:hAnsi="Arial" w:cs="Arial"/>
          <w:lang w:eastAsia="de-DE"/>
        </w:rPr>
        <w:t>Moordorfer</w:t>
      </w:r>
      <w:proofErr w:type="spellEnd"/>
      <w:r w:rsidR="00112BC5">
        <w:rPr>
          <w:rFonts w:ascii="Arial" w:eastAsia="Times New Roman" w:hAnsi="Arial" w:cs="Arial"/>
          <w:lang w:eastAsia="de-DE"/>
        </w:rPr>
        <w:t xml:space="preserve"> Straße 8</w:t>
      </w:r>
      <w:r>
        <w:rPr>
          <w:rFonts w:ascii="Arial" w:eastAsia="Times New Roman" w:hAnsi="Arial" w:cs="Arial"/>
          <w:lang w:eastAsia="de-DE"/>
        </w:rPr>
        <w:t xml:space="preserve">, </w:t>
      </w:r>
      <w:r w:rsidR="00112BC5">
        <w:rPr>
          <w:rFonts w:ascii="Arial" w:eastAsia="Times New Roman" w:hAnsi="Arial" w:cs="Arial"/>
          <w:lang w:eastAsia="de-DE"/>
        </w:rPr>
        <w:t>31535 Neustadt am Rübenberge</w:t>
      </w:r>
      <w:r>
        <w:rPr>
          <w:rFonts w:ascii="Arial" w:eastAsia="Times New Roman" w:hAnsi="Arial" w:cs="Arial"/>
          <w:lang w:eastAsia="de-DE"/>
        </w:rPr>
        <w:t xml:space="preserve">, die Erteilung einer Genehmigung gem. § 16 </w:t>
      </w:r>
      <w:r w:rsidR="00634A87">
        <w:rPr>
          <w:rFonts w:ascii="Arial" w:eastAsia="Times New Roman" w:hAnsi="Arial" w:cs="Arial"/>
          <w:lang w:eastAsia="de-DE"/>
        </w:rPr>
        <w:t>Abs. 1 i. V. m. § 19 BImSchG zur wesentlichen Änderung einer</w:t>
      </w:r>
      <w:r>
        <w:rPr>
          <w:rFonts w:ascii="Arial" w:eastAsia="Times New Roman" w:hAnsi="Arial" w:cs="Arial"/>
          <w:lang w:eastAsia="de-DE"/>
        </w:rPr>
        <w:t xml:space="preserve"> </w:t>
      </w:r>
      <w:r w:rsidR="00112BC5">
        <w:rPr>
          <w:rFonts w:ascii="Arial" w:eastAsia="Times New Roman" w:hAnsi="Arial" w:cs="Arial"/>
          <w:lang w:eastAsia="de-DE"/>
        </w:rPr>
        <w:t xml:space="preserve">Anlage zur Behandlung von Autowracks </w:t>
      </w:r>
      <w:r>
        <w:rPr>
          <w:rFonts w:ascii="Arial" w:eastAsia="Times New Roman" w:hAnsi="Arial" w:cs="Arial"/>
          <w:lang w:eastAsia="de-DE"/>
        </w:rPr>
        <w:t xml:space="preserve">am Standort </w:t>
      </w:r>
      <w:proofErr w:type="spellStart"/>
      <w:r w:rsidR="00112BC5">
        <w:rPr>
          <w:rFonts w:ascii="Arial" w:eastAsia="Times New Roman" w:hAnsi="Arial" w:cs="Arial"/>
          <w:lang w:eastAsia="de-DE"/>
        </w:rPr>
        <w:t>Moordorfer</w:t>
      </w:r>
      <w:proofErr w:type="spellEnd"/>
      <w:r w:rsidR="00112BC5">
        <w:rPr>
          <w:rFonts w:ascii="Arial" w:eastAsia="Times New Roman" w:hAnsi="Arial" w:cs="Arial"/>
          <w:lang w:eastAsia="de-DE"/>
        </w:rPr>
        <w:t xml:space="preserve"> Straße 8 in 31535 Neustadt am Rübenberge, Gemarkung Neustadt am Rübenberge</w:t>
      </w:r>
      <w:r>
        <w:rPr>
          <w:rFonts w:ascii="Arial" w:eastAsia="Times New Roman" w:hAnsi="Arial" w:cs="Arial"/>
          <w:lang w:eastAsia="de-DE"/>
        </w:rPr>
        <w:t xml:space="preserve">, Flur </w:t>
      </w:r>
      <w:r w:rsidR="00112BC5">
        <w:rPr>
          <w:rFonts w:ascii="Arial" w:eastAsia="Times New Roman" w:hAnsi="Arial" w:cs="Arial"/>
          <w:lang w:eastAsia="de-DE"/>
        </w:rPr>
        <w:t>18</w:t>
      </w:r>
      <w:r>
        <w:rPr>
          <w:rFonts w:ascii="Arial" w:eastAsia="Times New Roman" w:hAnsi="Arial" w:cs="Arial"/>
          <w:lang w:eastAsia="de-DE"/>
        </w:rPr>
        <w:t xml:space="preserve">, Flurstücke </w:t>
      </w:r>
      <w:r w:rsidR="00112BC5">
        <w:rPr>
          <w:rFonts w:ascii="Arial" w:eastAsia="Times New Roman" w:hAnsi="Arial" w:cs="Arial"/>
          <w:lang w:eastAsia="de-DE"/>
        </w:rPr>
        <w:t>103/2, 102/1 und 48/1</w:t>
      </w:r>
      <w:r>
        <w:rPr>
          <w:rFonts w:ascii="Arial" w:eastAsia="Times New Roman" w:hAnsi="Arial" w:cs="Arial"/>
          <w:lang w:eastAsia="de-DE"/>
        </w:rPr>
        <w:t>.</w:t>
      </w:r>
    </w:p>
    <w:p w:rsidR="003C1530" w:rsidRPr="00307D53" w:rsidRDefault="003C1530" w:rsidP="003C1530">
      <w:pPr>
        <w:tabs>
          <w:tab w:val="left" w:pos="567"/>
          <w:tab w:val="left" w:pos="1134"/>
        </w:tabs>
        <w:spacing w:after="240" w:line="240" w:lineRule="auto"/>
        <w:rPr>
          <w:rFonts w:ascii="Arial" w:eastAsia="Times New Roman" w:hAnsi="Arial" w:cs="Arial"/>
          <w:lang w:eastAsia="de-DE"/>
        </w:rPr>
      </w:pPr>
    </w:p>
    <w:p w:rsidR="003C1530" w:rsidRPr="00307D53" w:rsidRDefault="003C1530" w:rsidP="003C1530">
      <w:pPr>
        <w:tabs>
          <w:tab w:val="left" w:pos="567"/>
          <w:tab w:val="left" w:pos="1134"/>
        </w:tabs>
        <w:spacing w:after="0" w:line="240" w:lineRule="auto"/>
        <w:ind w:firstLine="367"/>
        <w:rPr>
          <w:rFonts w:ascii="Arial" w:eastAsia="Times New Roman" w:hAnsi="Arial" w:cs="Arial"/>
          <w:lang w:eastAsia="de-DE"/>
        </w:rPr>
      </w:pPr>
      <w:r w:rsidRPr="00307D53">
        <w:rPr>
          <w:rFonts w:ascii="Arial" w:eastAsia="Times New Roman" w:hAnsi="Arial" w:cs="Arial"/>
          <w:lang w:eastAsia="de-DE"/>
        </w:rPr>
        <w:t>Gegenstand der wesentlichen Änderung ist:</w:t>
      </w:r>
    </w:p>
    <w:p w:rsidR="003C1530" w:rsidRPr="00307D53" w:rsidRDefault="003C1530" w:rsidP="003C1530">
      <w:pPr>
        <w:tabs>
          <w:tab w:val="left" w:pos="567"/>
          <w:tab w:val="left" w:pos="1134"/>
        </w:tabs>
        <w:spacing w:after="220" w:line="240" w:lineRule="auto"/>
        <w:rPr>
          <w:rFonts w:ascii="Arial" w:eastAsiaTheme="minorEastAsia" w:hAnsi="Arial" w:cs="Arial"/>
          <w:lang w:eastAsia="de-DE"/>
        </w:rPr>
      </w:pPr>
      <w:r w:rsidRPr="00307D53">
        <w:rPr>
          <w:rFonts w:ascii="Arial" w:eastAsia="Times New Roman" w:hAnsi="Arial" w:cs="Arial"/>
          <w:lang w:eastAsia="de-DE"/>
        </w:rPr>
        <w:t> </w:t>
      </w:r>
    </w:p>
    <w:p w:rsidR="003C1530" w:rsidRPr="00003D57" w:rsidRDefault="0074204A" w:rsidP="003C1530">
      <w:pPr>
        <w:numPr>
          <w:ilvl w:val="0"/>
          <w:numId w:val="34"/>
        </w:numPr>
        <w:tabs>
          <w:tab w:val="clear" w:pos="720"/>
          <w:tab w:val="left" w:pos="1134"/>
          <w:tab w:val="left" w:pos="1418"/>
        </w:tabs>
        <w:spacing w:after="240" w:line="240" w:lineRule="auto"/>
        <w:ind w:left="1417" w:hanging="992"/>
        <w:rPr>
          <w:rFonts w:ascii="Arial" w:hAnsi="Arial" w:cs="Arial"/>
        </w:rPr>
      </w:pPr>
      <w:r>
        <w:rPr>
          <w:rFonts w:ascii="Arial" w:hAnsi="Arial" w:cs="Arial"/>
        </w:rPr>
        <w:t>Erhöhung der Lagerkapazität von 120 t auf 480 t.</w:t>
      </w:r>
    </w:p>
    <w:p w:rsidR="003C1530" w:rsidRPr="00307D53" w:rsidRDefault="003C1530" w:rsidP="0074204A">
      <w:pPr>
        <w:tabs>
          <w:tab w:val="left" w:pos="1134"/>
          <w:tab w:val="left" w:pos="1418"/>
        </w:tabs>
        <w:spacing w:after="120" w:line="240" w:lineRule="auto"/>
        <w:rPr>
          <w:rFonts w:ascii="Arial" w:hAnsi="Arial" w:cs="Arial"/>
        </w:rPr>
      </w:pPr>
    </w:p>
    <w:p w:rsidR="003C1530" w:rsidRPr="00307D53" w:rsidRDefault="003C1530" w:rsidP="003C1530">
      <w:pPr>
        <w:tabs>
          <w:tab w:val="left" w:pos="567"/>
          <w:tab w:val="left" w:pos="1134"/>
        </w:tabs>
        <w:spacing w:after="0" w:line="360" w:lineRule="auto"/>
        <w:ind w:firstLine="367"/>
        <w:rPr>
          <w:rFonts w:ascii="Arial" w:eastAsia="Times New Roman" w:hAnsi="Arial" w:cs="Arial"/>
          <w:lang w:eastAsia="de-DE"/>
        </w:rPr>
      </w:pPr>
      <w:r w:rsidRPr="00307D53">
        <w:rPr>
          <w:rFonts w:ascii="Arial" w:eastAsia="Times New Roman" w:hAnsi="Arial" w:cs="Arial"/>
          <w:lang w:eastAsia="de-DE"/>
        </w:rPr>
        <w:t xml:space="preserve">Im Rahmen dieses Genehmigungsverfahrens ist gemäß §§ 5, 9 Abs. </w:t>
      </w:r>
      <w:r w:rsidRPr="00003D57">
        <w:rPr>
          <w:rFonts w:ascii="Arial" w:eastAsia="Times New Roman" w:hAnsi="Arial" w:cs="Arial"/>
          <w:bCs/>
          <w:lang w:eastAsia="de-DE"/>
        </w:rPr>
        <w:t xml:space="preserve">2 S. 1 Nr. 2 </w:t>
      </w:r>
      <w:r w:rsidRPr="00307D53">
        <w:rPr>
          <w:rFonts w:ascii="Arial" w:eastAsia="Times New Roman" w:hAnsi="Arial" w:cs="Arial"/>
          <w:lang w:eastAsia="de-DE"/>
        </w:rPr>
        <w:t>UVPG i. V. m. Nr. 8.</w:t>
      </w:r>
      <w:r w:rsidR="008C5B3A">
        <w:rPr>
          <w:rFonts w:ascii="Arial" w:eastAsia="Times New Roman" w:hAnsi="Arial" w:cs="Arial"/>
          <w:lang w:eastAsia="de-DE"/>
        </w:rPr>
        <w:t>7</w:t>
      </w:r>
      <w:r w:rsidRPr="00307D53">
        <w:rPr>
          <w:rFonts w:ascii="Arial" w:eastAsia="Times New Roman" w:hAnsi="Arial" w:cs="Arial"/>
          <w:lang w:eastAsia="de-DE"/>
        </w:rPr>
        <w:t>.</w:t>
      </w:r>
      <w:r w:rsidR="008C5B3A">
        <w:rPr>
          <w:rFonts w:ascii="Arial" w:eastAsia="Times New Roman" w:hAnsi="Arial" w:cs="Arial"/>
          <w:lang w:eastAsia="de-DE"/>
        </w:rPr>
        <w:t>1</w:t>
      </w:r>
      <w:r w:rsidRPr="00307D53">
        <w:rPr>
          <w:rFonts w:ascii="Arial" w:eastAsia="Times New Roman" w:hAnsi="Arial" w:cs="Arial"/>
          <w:lang w:eastAsia="de-DE"/>
        </w:rPr>
        <w:t xml:space="preserve">.2 (S) der Anlage 1 UVPG durch eine standortbezogene Vorprüfung des Einzelfalls zu ermitteln, ob für das beantragte Vorhaben eine Pflicht zur Durchführung einer Umweltverträglichkeitsprüfung (UVP-Pflicht) besteht. </w:t>
      </w:r>
    </w:p>
    <w:p w:rsidR="003C1530" w:rsidRPr="00307D53" w:rsidRDefault="003C1530" w:rsidP="003C1530">
      <w:pPr>
        <w:tabs>
          <w:tab w:val="left" w:pos="567"/>
          <w:tab w:val="left" w:pos="1134"/>
        </w:tabs>
        <w:spacing w:after="0" w:line="360" w:lineRule="auto"/>
        <w:ind w:firstLine="367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standortbezogene Vorprüfung des Einzelfalls ist gem. </w:t>
      </w:r>
      <w:r w:rsidRPr="00307D53">
        <w:rPr>
          <w:rFonts w:ascii="Arial" w:eastAsia="Times New Roman" w:hAnsi="Arial" w:cs="Arial"/>
          <w:lang w:eastAsia="de-DE"/>
        </w:rPr>
        <w:t>§ 9 Abs. 4 i.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307D53">
        <w:rPr>
          <w:rFonts w:ascii="Arial" w:eastAsia="Times New Roman" w:hAnsi="Arial" w:cs="Arial"/>
          <w:lang w:eastAsia="de-DE"/>
        </w:rPr>
        <w:t>V.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307D53">
        <w:rPr>
          <w:rFonts w:ascii="Arial" w:eastAsia="Times New Roman" w:hAnsi="Arial" w:cs="Arial"/>
          <w:lang w:eastAsia="de-DE"/>
        </w:rPr>
        <w:t xml:space="preserve">m. § 7 Abs. 2 S. 2 UVPG </w:t>
      </w:r>
      <w:r>
        <w:rPr>
          <w:rFonts w:ascii="Arial" w:eastAsia="Times New Roman" w:hAnsi="Arial" w:cs="Arial"/>
          <w:lang w:eastAsia="de-DE"/>
        </w:rPr>
        <w:t xml:space="preserve">als </w:t>
      </w:r>
      <w:r w:rsidRPr="00307D53">
        <w:rPr>
          <w:rFonts w:ascii="Arial" w:eastAsia="Times New Roman" w:hAnsi="Arial" w:cs="Arial"/>
          <w:lang w:eastAsia="de-DE"/>
        </w:rPr>
        <w:t xml:space="preserve">überschlägige Prüfung in zwei Stufen durchzuführen. </w:t>
      </w:r>
      <w:r>
        <w:rPr>
          <w:rFonts w:ascii="Arial" w:eastAsia="Times New Roman" w:hAnsi="Arial" w:cs="Arial"/>
          <w:lang w:eastAsia="de-DE"/>
        </w:rPr>
        <w:t>Die zuständige Behörde prüft i</w:t>
      </w:r>
      <w:r w:rsidRPr="00307D53">
        <w:rPr>
          <w:rFonts w:ascii="Arial" w:eastAsia="Times New Roman" w:hAnsi="Arial" w:cs="Arial"/>
          <w:lang w:eastAsia="de-DE"/>
        </w:rPr>
        <w:t xml:space="preserve">m Zuge der ersten </w:t>
      </w:r>
      <w:r>
        <w:rPr>
          <w:rFonts w:ascii="Arial" w:eastAsia="Times New Roman" w:hAnsi="Arial" w:cs="Arial"/>
          <w:lang w:eastAsia="de-DE"/>
        </w:rPr>
        <w:t>Stufe</w:t>
      </w:r>
      <w:r w:rsidRPr="00307D53">
        <w:rPr>
          <w:rFonts w:ascii="Arial" w:eastAsia="Times New Roman" w:hAnsi="Arial" w:cs="Arial"/>
          <w:lang w:eastAsia="de-DE"/>
        </w:rPr>
        <w:t>, ob besondere örtliche Gegebenheiten gem</w:t>
      </w:r>
      <w:r>
        <w:rPr>
          <w:rFonts w:ascii="Arial" w:eastAsia="Times New Roman" w:hAnsi="Arial" w:cs="Arial"/>
          <w:lang w:eastAsia="de-DE"/>
        </w:rPr>
        <w:t>.</w:t>
      </w:r>
      <w:r w:rsidRPr="00307D53">
        <w:rPr>
          <w:rFonts w:ascii="Arial" w:eastAsia="Times New Roman" w:hAnsi="Arial" w:cs="Arial"/>
          <w:lang w:eastAsia="de-DE"/>
        </w:rPr>
        <w:t xml:space="preserve"> de</w:t>
      </w:r>
      <w:r>
        <w:rPr>
          <w:rFonts w:ascii="Arial" w:eastAsia="Times New Roman" w:hAnsi="Arial" w:cs="Arial"/>
          <w:lang w:eastAsia="de-DE"/>
        </w:rPr>
        <w:t>n</w:t>
      </w:r>
      <w:r w:rsidRPr="00307D53">
        <w:rPr>
          <w:rFonts w:ascii="Arial" w:eastAsia="Times New Roman" w:hAnsi="Arial" w:cs="Arial"/>
          <w:lang w:eastAsia="de-DE"/>
        </w:rPr>
        <w:t xml:space="preserve"> in Anlage 3 Nummer 2.3 aufgeführten Schutzkriterien vorliegen</w:t>
      </w:r>
      <w:r>
        <w:rPr>
          <w:rFonts w:ascii="Arial" w:eastAsia="Times New Roman" w:hAnsi="Arial" w:cs="Arial"/>
          <w:lang w:eastAsia="de-DE"/>
        </w:rPr>
        <w:t xml:space="preserve"> (§ 7 Abs. 2 S. 2 UVPG)</w:t>
      </w:r>
      <w:r w:rsidRPr="00307D53">
        <w:rPr>
          <w:rFonts w:ascii="Arial" w:eastAsia="Times New Roman" w:hAnsi="Arial" w:cs="Arial"/>
          <w:lang w:eastAsia="de-DE"/>
        </w:rPr>
        <w:t>.</w:t>
      </w:r>
    </w:p>
    <w:p w:rsidR="003C1530" w:rsidRPr="00307D53" w:rsidRDefault="003C1530" w:rsidP="003C1530">
      <w:pPr>
        <w:tabs>
          <w:tab w:val="left" w:pos="567"/>
          <w:tab w:val="left" w:pos="1134"/>
        </w:tabs>
        <w:spacing w:after="240" w:line="240" w:lineRule="auto"/>
        <w:rPr>
          <w:rFonts w:ascii="Arial" w:eastAsia="Times New Roman" w:hAnsi="Arial" w:cs="Arial"/>
          <w:lang w:eastAsia="de-DE"/>
        </w:rPr>
      </w:pPr>
    </w:p>
    <w:p w:rsidR="003C1530" w:rsidRPr="00307D53" w:rsidRDefault="003C1530" w:rsidP="003C1530">
      <w:pPr>
        <w:tabs>
          <w:tab w:val="left" w:pos="567"/>
          <w:tab w:val="left" w:pos="1134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307D53">
        <w:rPr>
          <w:rFonts w:ascii="Arial" w:eastAsia="Times New Roman" w:hAnsi="Arial" w:cs="Arial"/>
          <w:lang w:eastAsia="de-DE"/>
        </w:rPr>
        <w:t xml:space="preserve">Die </w:t>
      </w:r>
      <w:r>
        <w:rPr>
          <w:rFonts w:ascii="Arial" w:eastAsia="Times New Roman" w:hAnsi="Arial" w:cs="Arial"/>
          <w:lang w:eastAsia="de-DE"/>
        </w:rPr>
        <w:t xml:space="preserve">erste Stufe der </w:t>
      </w:r>
      <w:r w:rsidRPr="00307D53">
        <w:rPr>
          <w:rFonts w:ascii="Arial" w:eastAsia="Times New Roman" w:hAnsi="Arial" w:cs="Arial"/>
          <w:lang w:eastAsia="de-DE"/>
        </w:rPr>
        <w:t xml:space="preserve">Vorprüfung hat ergeben, dass für das Vorhaben </w:t>
      </w:r>
      <w:r>
        <w:rPr>
          <w:rFonts w:ascii="Arial" w:eastAsia="Times New Roman" w:hAnsi="Arial" w:cs="Arial"/>
          <w:lang w:eastAsia="de-DE"/>
        </w:rPr>
        <w:t>k</w:t>
      </w:r>
      <w:r w:rsidRPr="00307D53">
        <w:rPr>
          <w:rFonts w:ascii="Arial" w:eastAsia="Times New Roman" w:hAnsi="Arial" w:cs="Arial"/>
          <w:lang w:eastAsia="de-DE"/>
        </w:rPr>
        <w:t>eine UVP-</w:t>
      </w:r>
      <w:r>
        <w:rPr>
          <w:rFonts w:ascii="Arial" w:eastAsia="Times New Roman" w:hAnsi="Arial" w:cs="Arial"/>
          <w:lang w:eastAsia="de-DE"/>
        </w:rPr>
        <w:t xml:space="preserve">Pflicht </w:t>
      </w:r>
      <w:r w:rsidRPr="00307D53">
        <w:rPr>
          <w:rFonts w:ascii="Arial" w:eastAsia="Times New Roman" w:hAnsi="Arial" w:cs="Arial"/>
          <w:lang w:eastAsia="de-DE"/>
        </w:rPr>
        <w:t xml:space="preserve">besteht. </w:t>
      </w:r>
    </w:p>
    <w:p w:rsidR="003C1530" w:rsidRPr="00374F1E" w:rsidRDefault="003C1530" w:rsidP="003C1530">
      <w:pPr>
        <w:tabs>
          <w:tab w:val="left" w:pos="567"/>
          <w:tab w:val="left" w:pos="1134"/>
        </w:tabs>
        <w:spacing w:after="240" w:line="240" w:lineRule="auto"/>
        <w:rPr>
          <w:rFonts w:ascii="Arial" w:eastAsia="Times New Roman" w:hAnsi="Arial" w:cs="Arial"/>
          <w:lang w:eastAsia="de-DE"/>
        </w:rPr>
      </w:pPr>
    </w:p>
    <w:p w:rsidR="003C1530" w:rsidRPr="00374F1E" w:rsidRDefault="003C1530" w:rsidP="003C1530">
      <w:pPr>
        <w:tabs>
          <w:tab w:val="left" w:pos="567"/>
          <w:tab w:val="left" w:pos="1134"/>
        </w:tabs>
        <w:spacing w:after="0" w:line="240" w:lineRule="auto"/>
        <w:ind w:firstLine="367"/>
        <w:rPr>
          <w:rFonts w:ascii="Arial" w:eastAsia="Times New Roman" w:hAnsi="Arial" w:cs="Arial"/>
          <w:lang w:eastAsia="de-DE"/>
        </w:rPr>
      </w:pPr>
      <w:r w:rsidRPr="00374F1E">
        <w:rPr>
          <w:rFonts w:ascii="Arial" w:eastAsia="Times New Roman" w:hAnsi="Arial" w:cs="Arial"/>
          <w:b/>
          <w:bCs/>
          <w:lang w:eastAsia="de-DE"/>
        </w:rPr>
        <w:t>Begründung:</w:t>
      </w:r>
    </w:p>
    <w:p w:rsidR="003C1530" w:rsidRPr="00374F1E" w:rsidRDefault="003C1530" w:rsidP="003C1530">
      <w:pPr>
        <w:tabs>
          <w:tab w:val="left" w:pos="567"/>
          <w:tab w:val="left" w:pos="1134"/>
        </w:tabs>
        <w:spacing w:after="240" w:line="240" w:lineRule="auto"/>
        <w:rPr>
          <w:rFonts w:ascii="Arial" w:eastAsia="Times New Roman" w:hAnsi="Arial" w:cs="Arial"/>
          <w:lang w:eastAsia="de-DE"/>
        </w:rPr>
      </w:pPr>
    </w:p>
    <w:p w:rsidR="003C1530" w:rsidRPr="006F5E82" w:rsidRDefault="003C1530" w:rsidP="003C1530">
      <w:pPr>
        <w:tabs>
          <w:tab w:val="left" w:pos="567"/>
          <w:tab w:val="left" w:pos="1134"/>
        </w:tabs>
        <w:spacing w:after="0" w:line="360" w:lineRule="auto"/>
        <w:ind w:firstLine="367"/>
        <w:rPr>
          <w:rFonts w:ascii="Arial" w:eastAsia="Times New Roman" w:hAnsi="Arial" w:cs="Arial"/>
          <w:lang w:eastAsia="de-DE"/>
        </w:rPr>
      </w:pPr>
      <w:r w:rsidRPr="00374F1E">
        <w:rPr>
          <w:rFonts w:ascii="Arial" w:eastAsia="Times New Roman" w:hAnsi="Arial" w:cs="Arial"/>
          <w:lang w:eastAsia="de-DE"/>
        </w:rPr>
        <w:t xml:space="preserve">Anhand der Angaben ist zu erkennen, dass im näheren Bereich der Anlage und somit der beantragten wesentlichen </w:t>
      </w:r>
      <w:r w:rsidRPr="009F73F9">
        <w:rPr>
          <w:rFonts w:ascii="Arial" w:eastAsia="Times New Roman" w:hAnsi="Arial" w:cs="Arial"/>
          <w:lang w:eastAsia="de-DE"/>
        </w:rPr>
        <w:t xml:space="preserve">Änderung der </w:t>
      </w:r>
      <w:r w:rsidR="00BB63C5" w:rsidRPr="009F73F9">
        <w:rPr>
          <w:rFonts w:ascii="Arial" w:eastAsia="Times New Roman" w:hAnsi="Arial" w:cs="Arial"/>
          <w:lang w:eastAsia="de-DE"/>
        </w:rPr>
        <w:t xml:space="preserve">Anlage </w:t>
      </w:r>
      <w:r w:rsidR="00BB63C5">
        <w:rPr>
          <w:rFonts w:ascii="Arial" w:eastAsia="Times New Roman" w:hAnsi="Arial" w:cs="Arial"/>
          <w:lang w:eastAsia="de-DE"/>
        </w:rPr>
        <w:t xml:space="preserve">zur Behandlung von </w:t>
      </w:r>
      <w:r w:rsidR="00E0486C">
        <w:rPr>
          <w:rFonts w:ascii="Arial" w:eastAsia="Times New Roman" w:hAnsi="Arial" w:cs="Arial"/>
          <w:lang w:eastAsia="de-DE"/>
        </w:rPr>
        <w:t>Altautos durc</w:t>
      </w:r>
      <w:r w:rsidR="00F11D7A">
        <w:rPr>
          <w:rFonts w:ascii="Arial" w:eastAsia="Times New Roman" w:hAnsi="Arial" w:cs="Arial"/>
          <w:lang w:eastAsia="de-DE"/>
        </w:rPr>
        <w:t>h</w:t>
      </w:r>
      <w:r w:rsidR="00E0486C">
        <w:rPr>
          <w:rFonts w:ascii="Arial" w:eastAsia="Times New Roman" w:hAnsi="Arial" w:cs="Arial"/>
          <w:lang w:eastAsia="de-DE"/>
        </w:rPr>
        <w:t xml:space="preserve"> Erhöh</w:t>
      </w:r>
      <w:r w:rsidR="00062CD7">
        <w:rPr>
          <w:rFonts w:ascii="Arial" w:eastAsia="Times New Roman" w:hAnsi="Arial" w:cs="Arial"/>
          <w:lang w:eastAsia="de-DE"/>
        </w:rPr>
        <w:t>ung der Lagerkapazität von Auto</w:t>
      </w:r>
      <w:r w:rsidR="00E0486C">
        <w:rPr>
          <w:rFonts w:ascii="Arial" w:eastAsia="Times New Roman" w:hAnsi="Arial" w:cs="Arial"/>
          <w:lang w:eastAsia="de-DE"/>
        </w:rPr>
        <w:t>wracks</w:t>
      </w:r>
      <w:r w:rsidRPr="006F5E82">
        <w:rPr>
          <w:rFonts w:ascii="Arial" w:eastAsia="Times New Roman" w:hAnsi="Arial" w:cs="Arial"/>
          <w:lang w:eastAsia="de-DE"/>
        </w:rPr>
        <w:t xml:space="preserve">, Gebiete mit besonderen Schutzkriterien (gem. Anlage 3 Nr. 2.3 UVPG) vorliegen. </w:t>
      </w:r>
    </w:p>
    <w:p w:rsidR="003C1530" w:rsidRPr="006F5E82" w:rsidRDefault="003C1530" w:rsidP="003C1530">
      <w:pPr>
        <w:tabs>
          <w:tab w:val="left" w:pos="567"/>
          <w:tab w:val="left" w:pos="1134"/>
        </w:tabs>
        <w:spacing w:after="0" w:line="360" w:lineRule="auto"/>
        <w:ind w:firstLine="367"/>
        <w:rPr>
          <w:rFonts w:ascii="Arial" w:eastAsia="Times New Roman" w:hAnsi="Arial" w:cs="Arial"/>
          <w:lang w:eastAsia="de-DE"/>
        </w:rPr>
      </w:pPr>
      <w:r w:rsidRPr="006F5E82">
        <w:rPr>
          <w:rFonts w:ascii="Arial" w:eastAsia="Times New Roman" w:hAnsi="Arial" w:cs="Arial"/>
          <w:lang w:eastAsia="de-DE"/>
        </w:rPr>
        <w:t>Fraglich ist, inwiefern diese durch das geplante Vorhaben tangiert werden und somit zu besonderen örtlichen Umständen führen.</w:t>
      </w:r>
    </w:p>
    <w:p w:rsidR="003C1530" w:rsidRPr="00943312" w:rsidRDefault="003C1530" w:rsidP="003C1530">
      <w:pPr>
        <w:tabs>
          <w:tab w:val="left" w:pos="567"/>
          <w:tab w:val="left" w:pos="1134"/>
        </w:tabs>
        <w:spacing w:after="0" w:line="360" w:lineRule="auto"/>
        <w:ind w:firstLine="367"/>
        <w:rPr>
          <w:rFonts w:ascii="Arial" w:eastAsia="Times New Roman" w:hAnsi="Arial" w:cs="Arial"/>
          <w:lang w:eastAsia="de-DE"/>
        </w:rPr>
      </w:pPr>
    </w:p>
    <w:p w:rsidR="003C1530" w:rsidRPr="00943312" w:rsidRDefault="003C1530" w:rsidP="003C1530">
      <w:pPr>
        <w:autoSpaceDE w:val="0"/>
        <w:autoSpaceDN w:val="0"/>
        <w:adjustRightInd w:val="0"/>
        <w:spacing w:after="0"/>
        <w:rPr>
          <w:bCs/>
        </w:rPr>
      </w:pPr>
      <w:r w:rsidRPr="00943312">
        <w:rPr>
          <w:rFonts w:ascii="Arial" w:eastAsia="Times New Roman" w:hAnsi="Arial" w:cs="Arial"/>
          <w:lang w:eastAsia="de-DE"/>
        </w:rPr>
        <w:lastRenderedPageBreak/>
        <w:t>Im Anbetracht der bereits bestehenden</w:t>
      </w:r>
      <w:r w:rsidR="008253CE">
        <w:rPr>
          <w:rFonts w:ascii="Arial" w:eastAsia="Times New Roman" w:hAnsi="Arial" w:cs="Arial"/>
          <w:lang w:eastAsia="de-DE"/>
        </w:rPr>
        <w:t xml:space="preserve"> Behandlung von Altfahrzeugen</w:t>
      </w:r>
      <w:r w:rsidRPr="00943312">
        <w:rPr>
          <w:rFonts w:ascii="Arial" w:eastAsia="Times New Roman" w:hAnsi="Arial" w:cs="Arial"/>
          <w:lang w:eastAsia="de-DE"/>
        </w:rPr>
        <w:t xml:space="preserve"> und somit der Nutzung des Gebiet</w:t>
      </w:r>
      <w:r w:rsidR="00062CD7">
        <w:rPr>
          <w:rFonts w:ascii="Arial" w:eastAsia="Times New Roman" w:hAnsi="Arial" w:cs="Arial"/>
          <w:lang w:eastAsia="de-DE"/>
        </w:rPr>
        <w:t>e</w:t>
      </w:r>
      <w:r w:rsidRPr="00943312">
        <w:rPr>
          <w:rFonts w:ascii="Arial" w:eastAsia="Times New Roman" w:hAnsi="Arial" w:cs="Arial"/>
          <w:lang w:eastAsia="de-DE"/>
        </w:rPr>
        <w:t xml:space="preserve">s ist davon auszugehen, dass die wesentliche Änderung nicht zu veränderten örtlichen Gegebenheiten führt. Die wesentliche Änderung </w:t>
      </w:r>
      <w:r w:rsidR="00062CD7">
        <w:rPr>
          <w:rFonts w:ascii="Arial" w:eastAsia="Times New Roman" w:hAnsi="Arial" w:cs="Arial"/>
          <w:lang w:eastAsia="de-DE"/>
        </w:rPr>
        <w:t>erstreckt sich lediglich</w:t>
      </w:r>
      <w:r w:rsidR="00943312" w:rsidRPr="00943312">
        <w:rPr>
          <w:rFonts w:ascii="Arial" w:eastAsia="Times New Roman" w:hAnsi="Arial" w:cs="Arial"/>
          <w:lang w:eastAsia="de-DE"/>
        </w:rPr>
        <w:t xml:space="preserve"> auf eine Erhöhung der Lagerkapazität, wobei keine neuen Flächen in Anspruch genommen</w:t>
      </w:r>
      <w:r w:rsidR="00062CD7">
        <w:rPr>
          <w:rFonts w:ascii="Arial" w:eastAsia="Times New Roman" w:hAnsi="Arial" w:cs="Arial"/>
          <w:lang w:eastAsia="de-DE"/>
        </w:rPr>
        <w:t>, sondern bestehende Flächen genutzt</w:t>
      </w:r>
      <w:r w:rsidR="00943312" w:rsidRPr="00943312">
        <w:rPr>
          <w:rFonts w:ascii="Arial" w:eastAsia="Times New Roman" w:hAnsi="Arial" w:cs="Arial"/>
          <w:lang w:eastAsia="de-DE"/>
        </w:rPr>
        <w:t xml:space="preserve"> werden.</w:t>
      </w:r>
      <w:r w:rsidRPr="00943312">
        <w:rPr>
          <w:rFonts w:ascii="Arial" w:eastAsia="Times New Roman" w:hAnsi="Arial" w:cs="Arial"/>
          <w:lang w:eastAsia="de-DE"/>
        </w:rPr>
        <w:t xml:space="preserve"> </w:t>
      </w:r>
    </w:p>
    <w:p w:rsidR="003C1530" w:rsidRPr="00943312" w:rsidRDefault="003C1530" w:rsidP="003C1530">
      <w:pPr>
        <w:tabs>
          <w:tab w:val="left" w:pos="567"/>
          <w:tab w:val="left" w:pos="1134"/>
        </w:tabs>
        <w:spacing w:after="0" w:line="360" w:lineRule="auto"/>
        <w:ind w:firstLine="367"/>
        <w:rPr>
          <w:rFonts w:ascii="Arial" w:eastAsia="Times New Roman" w:hAnsi="Arial" w:cs="Arial"/>
          <w:lang w:eastAsia="de-DE"/>
        </w:rPr>
      </w:pPr>
    </w:p>
    <w:p w:rsidR="003C1530" w:rsidRPr="00FE35C5" w:rsidRDefault="003C1530" w:rsidP="003C1530">
      <w:pPr>
        <w:jc w:val="both"/>
        <w:rPr>
          <w:rFonts w:ascii="Arial" w:eastAsia="Times New Roman" w:hAnsi="Arial" w:cs="Arial"/>
          <w:lang w:eastAsia="de-DE"/>
        </w:rPr>
      </w:pPr>
      <w:r w:rsidRPr="00943312">
        <w:rPr>
          <w:rFonts w:ascii="Arial" w:eastAsia="Times New Roman" w:hAnsi="Arial" w:cs="Arial"/>
          <w:lang w:eastAsia="de-DE"/>
        </w:rPr>
        <w:t>Für die Schutzgüter Pflanzen/Tiere, Wasser</w:t>
      </w:r>
      <w:r w:rsidRPr="00FE35C5">
        <w:rPr>
          <w:rFonts w:ascii="Arial" w:eastAsia="Times New Roman" w:hAnsi="Arial" w:cs="Arial"/>
          <w:lang w:eastAsia="de-DE"/>
        </w:rPr>
        <w:t>, Klima/Luft und Landschaftsbild sind unter Berücksichtigung der Vermeidungs- und Verringerungsmaßnahmen keine erheblichen Beeinträchtigungen zu erwarten.</w:t>
      </w:r>
      <w:r w:rsidRPr="00FE35C5">
        <w:rPr>
          <w:bCs/>
        </w:rPr>
        <w:t xml:space="preserve"> </w:t>
      </w:r>
    </w:p>
    <w:p w:rsidR="003C1530" w:rsidRPr="00236BCC" w:rsidRDefault="003C1530" w:rsidP="003C1530">
      <w:pPr>
        <w:tabs>
          <w:tab w:val="left" w:pos="567"/>
          <w:tab w:val="left" w:pos="1134"/>
        </w:tabs>
        <w:spacing w:after="0" w:line="360" w:lineRule="auto"/>
        <w:ind w:firstLine="367"/>
        <w:rPr>
          <w:rFonts w:ascii="Arial" w:eastAsia="Times New Roman" w:hAnsi="Arial" w:cs="Arial"/>
          <w:lang w:eastAsia="de-DE"/>
        </w:rPr>
      </w:pPr>
      <w:r w:rsidRPr="00FE35C5">
        <w:rPr>
          <w:rFonts w:ascii="Arial" w:eastAsia="Times New Roman" w:hAnsi="Arial" w:cs="Arial"/>
          <w:lang w:eastAsia="de-DE"/>
        </w:rPr>
        <w:t xml:space="preserve">Aus Sicht der zu beteiligenden Behörden bestehen ebenfalls keine Anhaltspunkte für nachteilige Auswirkungen auf die im UVPG genannten Schutzgüter. Bedenken wurden nicht geäußert. </w:t>
      </w:r>
      <w:r w:rsidR="00236BCC">
        <w:rPr>
          <w:rFonts w:ascii="Arial" w:eastAsia="Times New Roman" w:hAnsi="Arial" w:cs="Arial"/>
          <w:color w:val="FF0000"/>
          <w:lang w:eastAsia="de-DE"/>
        </w:rPr>
        <w:br/>
      </w:r>
      <w:r w:rsidR="00236BCC" w:rsidRPr="00236BCC">
        <w:rPr>
          <w:rFonts w:ascii="Arial" w:eastAsia="Times New Roman" w:hAnsi="Arial" w:cs="Arial"/>
          <w:lang w:eastAsia="de-DE"/>
        </w:rPr>
        <w:t>Die Stadt Neustadt am Rübenberge</w:t>
      </w:r>
      <w:r w:rsidRPr="00236BCC">
        <w:rPr>
          <w:rFonts w:ascii="Arial" w:eastAsia="Times New Roman" w:hAnsi="Arial" w:cs="Arial"/>
          <w:lang w:eastAsia="de-DE"/>
        </w:rPr>
        <w:t xml:space="preserve"> stellt das Einvernehmen nach § 36 Abs. 1 BauGB für die geplante wesentliche Änderung der </w:t>
      </w:r>
      <w:r w:rsidR="00236BCC">
        <w:rPr>
          <w:rFonts w:ascii="Arial" w:eastAsia="Times New Roman" w:hAnsi="Arial" w:cs="Arial"/>
          <w:lang w:eastAsia="de-DE"/>
        </w:rPr>
        <w:t>Behandlung</w:t>
      </w:r>
      <w:r w:rsidR="00236BCC" w:rsidRPr="00236BCC">
        <w:rPr>
          <w:rStyle w:val="Fett"/>
          <w:rFonts w:ascii="Arial" w:hAnsi="Arial" w:cs="Arial"/>
          <w:b w:val="0"/>
        </w:rPr>
        <w:t xml:space="preserve"> von Altfahrzeugen durch Erhöhung der Lagerkapazität von Autowracks</w:t>
      </w:r>
      <w:r w:rsidR="00682BAB">
        <w:rPr>
          <w:rStyle w:val="Fett"/>
          <w:rFonts w:ascii="Arial" w:hAnsi="Arial" w:cs="Arial"/>
          <w:b w:val="0"/>
        </w:rPr>
        <w:t xml:space="preserve"> her</w:t>
      </w:r>
      <w:r w:rsidRPr="00236BCC">
        <w:rPr>
          <w:rFonts w:ascii="Arial" w:eastAsia="Times New Roman" w:hAnsi="Arial" w:cs="Arial"/>
          <w:lang w:eastAsia="de-DE"/>
        </w:rPr>
        <w:t xml:space="preserve">. </w:t>
      </w:r>
    </w:p>
    <w:p w:rsidR="003C1530" w:rsidRPr="00236BCC" w:rsidRDefault="003C1530" w:rsidP="003C1530">
      <w:pPr>
        <w:tabs>
          <w:tab w:val="left" w:pos="567"/>
          <w:tab w:val="left" w:pos="1134"/>
        </w:tabs>
        <w:spacing w:after="0" w:line="360" w:lineRule="auto"/>
        <w:ind w:firstLine="367"/>
        <w:rPr>
          <w:rFonts w:ascii="Arial" w:eastAsia="Times New Roman" w:hAnsi="Arial" w:cs="Arial"/>
          <w:lang w:eastAsia="de-DE"/>
        </w:rPr>
      </w:pPr>
    </w:p>
    <w:p w:rsidR="003C1530" w:rsidRPr="00236BCC" w:rsidRDefault="003F29ED" w:rsidP="003C1530">
      <w:pPr>
        <w:tabs>
          <w:tab w:val="left" w:pos="567"/>
          <w:tab w:val="left" w:pos="1134"/>
        </w:tabs>
        <w:spacing w:after="0" w:line="360" w:lineRule="auto"/>
        <w:ind w:firstLine="367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Bei einem</w:t>
      </w:r>
      <w:r w:rsidR="003C1530" w:rsidRPr="00236BCC">
        <w:rPr>
          <w:rFonts w:ascii="Arial" w:eastAsia="Times New Roman" w:hAnsi="Arial" w:cs="Arial"/>
          <w:lang w:eastAsia="de-DE"/>
        </w:rPr>
        <w:t xml:space="preserve"> ordnungs</w:t>
      </w:r>
      <w:r w:rsidR="00236BCC" w:rsidRPr="00236BCC">
        <w:rPr>
          <w:rFonts w:ascii="Arial" w:eastAsia="Times New Roman" w:hAnsi="Arial" w:cs="Arial"/>
          <w:lang w:eastAsia="de-DE"/>
        </w:rPr>
        <w:t>gemäßen Betri</w:t>
      </w:r>
      <w:r w:rsidR="008253CE">
        <w:rPr>
          <w:rFonts w:ascii="Arial" w:eastAsia="Times New Roman" w:hAnsi="Arial" w:cs="Arial"/>
          <w:lang w:eastAsia="de-DE"/>
        </w:rPr>
        <w:t>eb der Behandlung von Altfahrzeugen</w:t>
      </w:r>
      <w:r w:rsidR="00236BCC" w:rsidRPr="00236BCC">
        <w:rPr>
          <w:rFonts w:ascii="Arial" w:eastAsia="Times New Roman" w:hAnsi="Arial" w:cs="Arial"/>
          <w:lang w:eastAsia="de-DE"/>
        </w:rPr>
        <w:t xml:space="preserve"> und dessen Lagerung</w:t>
      </w:r>
      <w:r w:rsidR="003C1530" w:rsidRPr="00236BCC">
        <w:rPr>
          <w:rFonts w:ascii="Arial" w:eastAsia="Times New Roman" w:hAnsi="Arial" w:cs="Arial"/>
          <w:lang w:eastAsia="de-DE"/>
        </w:rPr>
        <w:t xml:space="preserve"> sind keine schädlichen Umwelteinwirkungen und sonstige Gefahren, erhebliche Nachteile und erhebliche Belästigungen im Sinne des § 3 Abs. 1 BImSchG zu erwarten.</w:t>
      </w:r>
    </w:p>
    <w:p w:rsidR="003C1530" w:rsidRPr="00236BCC" w:rsidRDefault="003C1530" w:rsidP="003C1530">
      <w:pPr>
        <w:tabs>
          <w:tab w:val="left" w:pos="567"/>
          <w:tab w:val="left" w:pos="1134"/>
        </w:tabs>
        <w:spacing w:after="0" w:line="360" w:lineRule="auto"/>
        <w:ind w:firstLine="367"/>
        <w:rPr>
          <w:rFonts w:ascii="Arial" w:eastAsia="Times New Roman" w:hAnsi="Arial" w:cs="Arial"/>
          <w:lang w:eastAsia="de-DE"/>
        </w:rPr>
      </w:pPr>
    </w:p>
    <w:p w:rsidR="003C1530" w:rsidRPr="00FE35C5" w:rsidRDefault="003C1530" w:rsidP="003C1530">
      <w:pPr>
        <w:tabs>
          <w:tab w:val="left" w:pos="567"/>
          <w:tab w:val="left" w:pos="1134"/>
        </w:tabs>
        <w:spacing w:after="220" w:line="240" w:lineRule="auto"/>
        <w:rPr>
          <w:rFonts w:ascii="Arial" w:eastAsia="Times New Roman" w:hAnsi="Arial" w:cs="Arial"/>
          <w:lang w:eastAsia="de-DE"/>
        </w:rPr>
      </w:pPr>
      <w:r w:rsidRPr="00236BCC">
        <w:rPr>
          <w:rFonts w:ascii="Arial" w:eastAsia="Times New Roman" w:hAnsi="Arial" w:cs="Arial"/>
          <w:lang w:eastAsia="de-DE"/>
        </w:rPr>
        <w:t xml:space="preserve">Diese Feststellung wird hiermit der Öffentlichkeit </w:t>
      </w:r>
      <w:r w:rsidRPr="00FE35C5">
        <w:rPr>
          <w:rFonts w:ascii="Arial" w:eastAsia="Times New Roman" w:hAnsi="Arial" w:cs="Arial"/>
          <w:lang w:eastAsia="de-DE"/>
        </w:rPr>
        <w:t xml:space="preserve">bekannt gegeben. Sie ist nicht selbständig anfechtbar. </w:t>
      </w:r>
    </w:p>
    <w:p w:rsidR="003C1530" w:rsidRPr="00FE35C5" w:rsidRDefault="003C1530" w:rsidP="003C1530"/>
    <w:p w:rsidR="00C15B0A" w:rsidRPr="00FE35C5" w:rsidRDefault="00C15B0A" w:rsidP="00393AA2"/>
    <w:sectPr w:rsidR="00C15B0A" w:rsidRPr="00FE35C5" w:rsidSect="00657988">
      <w:headerReference w:type="even" r:id="rId8"/>
      <w:footerReference w:type="default" r:id="rId9"/>
      <w:headerReference w:type="first" r:id="rId10"/>
      <w:type w:val="continuous"/>
      <w:pgSz w:w="11907" w:h="16840" w:code="9"/>
      <w:pgMar w:top="1418" w:right="1134" w:bottom="1134" w:left="1361" w:header="397" w:footer="2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9E" w:rsidRDefault="0062619E">
      <w:r>
        <w:separator/>
      </w:r>
    </w:p>
  </w:endnote>
  <w:endnote w:type="continuationSeparator" w:id="0">
    <w:p w:rsidR="0062619E" w:rsidRDefault="0062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C7F9C">
      <w:rPr>
        <w:noProof/>
      </w:rPr>
      <w:t>2</w:t>
    </w:r>
    <w:r>
      <w:fldChar w:fldCharType="end"/>
    </w:r>
    <w:r>
      <w:t xml:space="preserve"> von </w:t>
    </w:r>
    <w:r w:rsidR="000D026D">
      <w:rPr>
        <w:noProof/>
      </w:rPr>
      <w:fldChar w:fldCharType="begin"/>
    </w:r>
    <w:r w:rsidR="000D026D">
      <w:rPr>
        <w:noProof/>
      </w:rPr>
      <w:instrText xml:space="preserve"> NUMPAGES </w:instrText>
    </w:r>
    <w:r w:rsidR="000D026D">
      <w:rPr>
        <w:noProof/>
      </w:rPr>
      <w:fldChar w:fldCharType="separate"/>
    </w:r>
    <w:r w:rsidR="001C7F9C">
      <w:rPr>
        <w:noProof/>
      </w:rPr>
      <w:t>2</w:t>
    </w:r>
    <w:r w:rsidR="000D026D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9E" w:rsidRDefault="0062619E">
      <w:r>
        <w:separator/>
      </w:r>
    </w:p>
  </w:footnote>
  <w:footnote w:type="continuationSeparator" w:id="0">
    <w:p w:rsidR="0062619E" w:rsidRDefault="0062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5F0AAB">
    <w:pPr>
      <w:pStyle w:val="Kopfzeile"/>
      <w:rPr>
        <w:rFonts w:cs="Arial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4BAD7C1" wp14:editId="3EF3FE06">
              <wp:simplePos x="0" y="0"/>
              <wp:positionH relativeFrom="page">
                <wp:posOffset>195580</wp:posOffset>
              </wp:positionH>
              <wp:positionV relativeFrom="page">
                <wp:posOffset>3716655</wp:posOffset>
              </wp:positionV>
              <wp:extent cx="17970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DF15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4pt,292.65pt" to="29.55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GGEgIAACc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929BA"/>
    <w:multiLevelType w:val="multilevel"/>
    <w:tmpl w:val="1480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4B455BF"/>
    <w:multiLevelType w:val="multilevel"/>
    <w:tmpl w:val="8CB2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16"/>
  </w:num>
  <w:num w:numId="10">
    <w:abstractNumId w:val="9"/>
  </w:num>
  <w:num w:numId="11">
    <w:abstractNumId w:val="8"/>
  </w:num>
  <w:num w:numId="12">
    <w:abstractNumId w:val="19"/>
  </w:num>
  <w:num w:numId="13">
    <w:abstractNumId w:val="11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2"/>
  </w:num>
  <w:num w:numId="23">
    <w:abstractNumId w:val="14"/>
  </w:num>
  <w:num w:numId="24">
    <w:abstractNumId w:val="7"/>
  </w:num>
  <w:num w:numId="25">
    <w:abstractNumId w:val="3"/>
  </w:num>
  <w:num w:numId="26">
    <w:abstractNumId w:val="7"/>
  </w:num>
  <w:num w:numId="27">
    <w:abstractNumId w:val="3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7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9E"/>
    <w:rsid w:val="000231B7"/>
    <w:rsid w:val="000364AE"/>
    <w:rsid w:val="00062CD7"/>
    <w:rsid w:val="00063FC8"/>
    <w:rsid w:val="00064688"/>
    <w:rsid w:val="00065AB1"/>
    <w:rsid w:val="00070855"/>
    <w:rsid w:val="00095E65"/>
    <w:rsid w:val="000A2947"/>
    <w:rsid w:val="000C5FD3"/>
    <w:rsid w:val="000D026D"/>
    <w:rsid w:val="000D11C1"/>
    <w:rsid w:val="000E4809"/>
    <w:rsid w:val="000E5F63"/>
    <w:rsid w:val="00112BC5"/>
    <w:rsid w:val="00124DED"/>
    <w:rsid w:val="00134EEE"/>
    <w:rsid w:val="001527C5"/>
    <w:rsid w:val="00155C36"/>
    <w:rsid w:val="0017762F"/>
    <w:rsid w:val="00181CA5"/>
    <w:rsid w:val="001856D6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C7F9C"/>
    <w:rsid w:val="001D61DD"/>
    <w:rsid w:val="001E77BF"/>
    <w:rsid w:val="00200105"/>
    <w:rsid w:val="00236BCC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F7DF2"/>
    <w:rsid w:val="00300C5F"/>
    <w:rsid w:val="003118D6"/>
    <w:rsid w:val="0033463A"/>
    <w:rsid w:val="00347EB0"/>
    <w:rsid w:val="0036133B"/>
    <w:rsid w:val="00371B8C"/>
    <w:rsid w:val="00374F1E"/>
    <w:rsid w:val="00377BEC"/>
    <w:rsid w:val="00384813"/>
    <w:rsid w:val="0039105C"/>
    <w:rsid w:val="00393AA2"/>
    <w:rsid w:val="003A26F6"/>
    <w:rsid w:val="003A39D3"/>
    <w:rsid w:val="003B14BB"/>
    <w:rsid w:val="003B569F"/>
    <w:rsid w:val="003C1530"/>
    <w:rsid w:val="003D4A3A"/>
    <w:rsid w:val="003E7F3A"/>
    <w:rsid w:val="003F29ED"/>
    <w:rsid w:val="004261BD"/>
    <w:rsid w:val="00426764"/>
    <w:rsid w:val="00427487"/>
    <w:rsid w:val="00445595"/>
    <w:rsid w:val="00447A13"/>
    <w:rsid w:val="00447C49"/>
    <w:rsid w:val="00456060"/>
    <w:rsid w:val="00465539"/>
    <w:rsid w:val="004660A7"/>
    <w:rsid w:val="00475B10"/>
    <w:rsid w:val="0048493A"/>
    <w:rsid w:val="004965F2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15E9E"/>
    <w:rsid w:val="00520EE3"/>
    <w:rsid w:val="0052411A"/>
    <w:rsid w:val="00525169"/>
    <w:rsid w:val="00532432"/>
    <w:rsid w:val="00547437"/>
    <w:rsid w:val="00563859"/>
    <w:rsid w:val="00570576"/>
    <w:rsid w:val="00572408"/>
    <w:rsid w:val="00576D8C"/>
    <w:rsid w:val="005853E7"/>
    <w:rsid w:val="00587BA4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2342B"/>
    <w:rsid w:val="0062619E"/>
    <w:rsid w:val="00634A87"/>
    <w:rsid w:val="00657988"/>
    <w:rsid w:val="006626D0"/>
    <w:rsid w:val="006630C5"/>
    <w:rsid w:val="006649BB"/>
    <w:rsid w:val="00682BAB"/>
    <w:rsid w:val="006B2FCA"/>
    <w:rsid w:val="006C2B57"/>
    <w:rsid w:val="006C442C"/>
    <w:rsid w:val="006E030C"/>
    <w:rsid w:val="006E1BBB"/>
    <w:rsid w:val="006F4590"/>
    <w:rsid w:val="006F5E82"/>
    <w:rsid w:val="00707EED"/>
    <w:rsid w:val="00711A37"/>
    <w:rsid w:val="007146D5"/>
    <w:rsid w:val="007167A1"/>
    <w:rsid w:val="0071755F"/>
    <w:rsid w:val="00737E30"/>
    <w:rsid w:val="00741BBD"/>
    <w:rsid w:val="0074204A"/>
    <w:rsid w:val="0074358B"/>
    <w:rsid w:val="00744C9A"/>
    <w:rsid w:val="007503CD"/>
    <w:rsid w:val="00756B0B"/>
    <w:rsid w:val="00771E43"/>
    <w:rsid w:val="00773B56"/>
    <w:rsid w:val="00776821"/>
    <w:rsid w:val="00783D5E"/>
    <w:rsid w:val="007A16B0"/>
    <w:rsid w:val="007A38D3"/>
    <w:rsid w:val="007D4449"/>
    <w:rsid w:val="007D6486"/>
    <w:rsid w:val="007E2706"/>
    <w:rsid w:val="00802770"/>
    <w:rsid w:val="0080374C"/>
    <w:rsid w:val="0080750D"/>
    <w:rsid w:val="008102AF"/>
    <w:rsid w:val="00812E9C"/>
    <w:rsid w:val="00812EFC"/>
    <w:rsid w:val="008151E6"/>
    <w:rsid w:val="00816534"/>
    <w:rsid w:val="0082222C"/>
    <w:rsid w:val="008253CE"/>
    <w:rsid w:val="00842431"/>
    <w:rsid w:val="00872033"/>
    <w:rsid w:val="008748E0"/>
    <w:rsid w:val="00896F95"/>
    <w:rsid w:val="00897AF3"/>
    <w:rsid w:val="008B0AD4"/>
    <w:rsid w:val="008C2BD1"/>
    <w:rsid w:val="008C38AB"/>
    <w:rsid w:val="008C5B3A"/>
    <w:rsid w:val="008C7BAF"/>
    <w:rsid w:val="008E5C2F"/>
    <w:rsid w:val="008F0C54"/>
    <w:rsid w:val="00914D17"/>
    <w:rsid w:val="009175AC"/>
    <w:rsid w:val="009301BE"/>
    <w:rsid w:val="00930495"/>
    <w:rsid w:val="00931F5B"/>
    <w:rsid w:val="00933DF5"/>
    <w:rsid w:val="00937347"/>
    <w:rsid w:val="00943312"/>
    <w:rsid w:val="00955601"/>
    <w:rsid w:val="00956B18"/>
    <w:rsid w:val="00957FC7"/>
    <w:rsid w:val="00965831"/>
    <w:rsid w:val="0097205D"/>
    <w:rsid w:val="00982478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08B7"/>
    <w:rsid w:val="009E65F3"/>
    <w:rsid w:val="009F73F9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C3BF1"/>
    <w:rsid w:val="00AE19F0"/>
    <w:rsid w:val="00AF4797"/>
    <w:rsid w:val="00B011E3"/>
    <w:rsid w:val="00B0286F"/>
    <w:rsid w:val="00B268A9"/>
    <w:rsid w:val="00B413B7"/>
    <w:rsid w:val="00B4327F"/>
    <w:rsid w:val="00B548E0"/>
    <w:rsid w:val="00B54E81"/>
    <w:rsid w:val="00B57E29"/>
    <w:rsid w:val="00B63090"/>
    <w:rsid w:val="00B75F14"/>
    <w:rsid w:val="00B807D9"/>
    <w:rsid w:val="00B92664"/>
    <w:rsid w:val="00B941C4"/>
    <w:rsid w:val="00B94FBD"/>
    <w:rsid w:val="00BB014F"/>
    <w:rsid w:val="00BB4808"/>
    <w:rsid w:val="00BB63C5"/>
    <w:rsid w:val="00BE1ECF"/>
    <w:rsid w:val="00C018D9"/>
    <w:rsid w:val="00C0234F"/>
    <w:rsid w:val="00C15B0A"/>
    <w:rsid w:val="00C3753C"/>
    <w:rsid w:val="00C43019"/>
    <w:rsid w:val="00C51AC1"/>
    <w:rsid w:val="00C56F70"/>
    <w:rsid w:val="00C61C0C"/>
    <w:rsid w:val="00C67698"/>
    <w:rsid w:val="00C875C1"/>
    <w:rsid w:val="00C90B4D"/>
    <w:rsid w:val="00CA02F1"/>
    <w:rsid w:val="00CA164F"/>
    <w:rsid w:val="00CC6387"/>
    <w:rsid w:val="00CD3D94"/>
    <w:rsid w:val="00CD6F51"/>
    <w:rsid w:val="00CF7768"/>
    <w:rsid w:val="00D1452D"/>
    <w:rsid w:val="00D16416"/>
    <w:rsid w:val="00D33EF8"/>
    <w:rsid w:val="00D3460C"/>
    <w:rsid w:val="00D57627"/>
    <w:rsid w:val="00D65052"/>
    <w:rsid w:val="00D675E4"/>
    <w:rsid w:val="00D73B33"/>
    <w:rsid w:val="00D75128"/>
    <w:rsid w:val="00D77BDA"/>
    <w:rsid w:val="00D904CF"/>
    <w:rsid w:val="00D91A2E"/>
    <w:rsid w:val="00D92282"/>
    <w:rsid w:val="00D97E88"/>
    <w:rsid w:val="00DB3959"/>
    <w:rsid w:val="00DC7D17"/>
    <w:rsid w:val="00DD6097"/>
    <w:rsid w:val="00E006EB"/>
    <w:rsid w:val="00E041B8"/>
    <w:rsid w:val="00E0486C"/>
    <w:rsid w:val="00E06C26"/>
    <w:rsid w:val="00E075B2"/>
    <w:rsid w:val="00E07A6E"/>
    <w:rsid w:val="00E124E6"/>
    <w:rsid w:val="00E216AB"/>
    <w:rsid w:val="00E41437"/>
    <w:rsid w:val="00E576A9"/>
    <w:rsid w:val="00E61227"/>
    <w:rsid w:val="00E74F69"/>
    <w:rsid w:val="00E81F39"/>
    <w:rsid w:val="00E830FE"/>
    <w:rsid w:val="00E91F70"/>
    <w:rsid w:val="00E940FC"/>
    <w:rsid w:val="00E961E5"/>
    <w:rsid w:val="00ED2A57"/>
    <w:rsid w:val="00ED5D1B"/>
    <w:rsid w:val="00EE0AF5"/>
    <w:rsid w:val="00EE26C0"/>
    <w:rsid w:val="00EE775A"/>
    <w:rsid w:val="00EF7B30"/>
    <w:rsid w:val="00F11D7A"/>
    <w:rsid w:val="00F17C69"/>
    <w:rsid w:val="00F423C4"/>
    <w:rsid w:val="00F45863"/>
    <w:rsid w:val="00F51791"/>
    <w:rsid w:val="00F71334"/>
    <w:rsid w:val="00F72E80"/>
    <w:rsid w:val="00FA5AD0"/>
    <w:rsid w:val="00FA7799"/>
    <w:rsid w:val="00FB3960"/>
    <w:rsid w:val="00FC09BA"/>
    <w:rsid w:val="00FC0BF5"/>
    <w:rsid w:val="00FC3FB1"/>
    <w:rsid w:val="00FD0ACA"/>
    <w:rsid w:val="00FD1B35"/>
    <w:rsid w:val="00FD5C5F"/>
    <w:rsid w:val="00FD62A0"/>
    <w:rsid w:val="00FE35C5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8E3FF3"/>
  <w15:docId w15:val="{31688B49-5DF3-49C7-8859-85B1D75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15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unhideWhenUsed/>
    <w:rsid w:val="00DB3959"/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36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17CC-EC36-496C-852C-4A5B269C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brief.dotm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3080</CharactersWithSpaces>
  <SharedDoc>false</SharedDoc>
  <HyperlinkBase>file://T:\bimschgg\H006428393\BImSchGG\5110078_2023-H\202309\5110078_2023-H-21.DOCX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Braun, Esther</dc:creator>
  <cp:keywords/>
  <dc:description/>
  <cp:lastModifiedBy>Braun, Esther</cp:lastModifiedBy>
  <cp:revision>28</cp:revision>
  <cp:lastPrinted>2011-11-21T16:37:00Z</cp:lastPrinted>
  <dcterms:created xsi:type="dcterms:W3CDTF">2023-09-28T05:03:00Z</dcterms:created>
  <dcterms:modified xsi:type="dcterms:W3CDTF">2023-09-29T09:21:00Z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