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E8E" w:rsidRDefault="00325E8E" w:rsidP="00325E8E">
      <w:pPr>
        <w:jc w:val="both"/>
      </w:pPr>
      <w:bookmarkStart w:id="0" w:name="_GoBack"/>
      <w:bookmarkEnd w:id="0"/>
    </w:p>
    <w:p w:rsidR="00325E8E" w:rsidRPr="00406867" w:rsidRDefault="00325E8E" w:rsidP="00325E8E">
      <w:pPr>
        <w:ind w:right="566"/>
        <w:jc w:val="center"/>
        <w:rPr>
          <w:rFonts w:ascii="Calibri" w:hAnsi="Calibri"/>
          <w:b/>
          <w:bCs/>
        </w:rPr>
      </w:pPr>
      <w:r w:rsidRPr="00406867">
        <w:rPr>
          <w:rFonts w:ascii="Calibri" w:hAnsi="Calibri"/>
          <w:b/>
          <w:bCs/>
          <w:u w:val="single"/>
        </w:rPr>
        <w:t>Öffentliche Bekanntmachung nach dem Bundes-Immissionsschutzgesetz</w:t>
      </w:r>
    </w:p>
    <w:p w:rsidR="00E24F70" w:rsidRPr="00406867" w:rsidRDefault="00E24F70" w:rsidP="00325E8E">
      <w:pPr>
        <w:ind w:right="566"/>
        <w:jc w:val="center"/>
        <w:rPr>
          <w:rFonts w:cs="Arial"/>
          <w:b/>
          <w:u w:val="single"/>
        </w:rPr>
      </w:pPr>
      <w:r w:rsidRPr="00406867">
        <w:rPr>
          <w:rFonts w:cs="Arial"/>
          <w:b/>
          <w:u w:val="single"/>
        </w:rPr>
        <w:t xml:space="preserve">Genehmigung zur Errichtung und zum Betrieb von 6 Windenergieanlagen in </w:t>
      </w:r>
      <w:proofErr w:type="spellStart"/>
      <w:r w:rsidRPr="00406867">
        <w:rPr>
          <w:rFonts w:cs="Arial"/>
          <w:b/>
          <w:u w:val="single"/>
        </w:rPr>
        <w:t>Upgant</w:t>
      </w:r>
      <w:proofErr w:type="spellEnd"/>
      <w:r w:rsidRPr="00406867">
        <w:rPr>
          <w:rFonts w:cs="Arial"/>
          <w:b/>
          <w:u w:val="single"/>
        </w:rPr>
        <w:t>-Schott,</w:t>
      </w:r>
    </w:p>
    <w:p w:rsidR="00325E8E" w:rsidRDefault="00325E8E" w:rsidP="00325E8E">
      <w:pPr>
        <w:ind w:right="566"/>
        <w:jc w:val="center"/>
        <w:rPr>
          <w:rFonts w:cs="Arial"/>
          <w:b/>
          <w:u w:val="single"/>
        </w:rPr>
      </w:pPr>
      <w:r w:rsidRPr="00406867">
        <w:rPr>
          <w:rFonts w:cs="Arial"/>
          <w:b/>
          <w:u w:val="single"/>
        </w:rPr>
        <w:t xml:space="preserve">Windmüller </w:t>
      </w:r>
      <w:proofErr w:type="spellStart"/>
      <w:r w:rsidRPr="00406867">
        <w:rPr>
          <w:rFonts w:cs="Arial"/>
          <w:b/>
          <w:u w:val="single"/>
        </w:rPr>
        <w:t>Upgant</w:t>
      </w:r>
      <w:proofErr w:type="spellEnd"/>
      <w:r w:rsidRPr="00406867">
        <w:rPr>
          <w:rFonts w:cs="Arial"/>
          <w:b/>
          <w:u w:val="single"/>
        </w:rPr>
        <w:t xml:space="preserve">-Schott GmbH &amp; Co. KG </w:t>
      </w:r>
      <w:r w:rsidRPr="00406867">
        <w:rPr>
          <w:rFonts w:ascii="Calibri" w:eastAsia="Arial Unicode MS" w:hAnsi="Calibri" w:cs="Arial Unicode MS"/>
          <w:b/>
          <w:bCs/>
          <w:szCs w:val="20"/>
          <w:u w:val="single"/>
        </w:rPr>
        <w:t>(Az.: 367/2013)</w:t>
      </w:r>
    </w:p>
    <w:p w:rsidR="00325E8E" w:rsidRDefault="00325E8E" w:rsidP="00325E8E">
      <w:pPr>
        <w:jc w:val="both"/>
        <w:rPr>
          <w:rFonts w:ascii="Calibri" w:hAnsi="Calibri"/>
        </w:rPr>
      </w:pPr>
    </w:p>
    <w:p w:rsidR="00325E8E" w:rsidRDefault="00325E8E" w:rsidP="00325E8E">
      <w:pPr>
        <w:jc w:val="both"/>
        <w:rPr>
          <w:rFonts w:ascii="Calibri" w:hAnsi="Calibri"/>
        </w:rPr>
      </w:pPr>
    </w:p>
    <w:p w:rsidR="00325E8E" w:rsidRDefault="00325E8E" w:rsidP="007E032F">
      <w:pPr>
        <w:ind w:right="566"/>
        <w:jc w:val="both"/>
        <w:rPr>
          <w:rFonts w:eastAsia="Arial Unicode MS"/>
          <w:bCs/>
          <w:szCs w:val="20"/>
        </w:rPr>
      </w:pPr>
      <w:r>
        <w:t xml:space="preserve">Gemäß § 10 Abs. 7 und 8 BImSchG (Gesetz zum Schutz vor schädlichen Umwelteinwirkungen durch Luftverunreinigungen, Geräusche, Erschütterungen und ähnliche Vorgänge – Bundes-Immissionsschutzgesetz-) in der Fassung der Bekanntmachung vom 17. Mai 2013 (BGBl. I. S. 1274), </w:t>
      </w:r>
      <w:r w:rsidRPr="00325E8E">
        <w:t xml:space="preserve">zuletzt </w:t>
      </w:r>
      <w:r>
        <w:t xml:space="preserve">geändert </w:t>
      </w:r>
      <w:r w:rsidRPr="00325E8E">
        <w:t xml:space="preserve">durch Artikel </w:t>
      </w:r>
      <w:r w:rsidR="00894F7A">
        <w:t xml:space="preserve">10, </w:t>
      </w:r>
      <w:r w:rsidRPr="00325E8E">
        <w:t>11 Absatz 3 des Gesetzes vom 26. Juli 2023 (BGBl. 2023 I Nr. 202)</w:t>
      </w:r>
      <w:r>
        <w:t xml:space="preserve"> in Verbindung mit § 21a der 9. BImSchV (Verordnung über das Genehmigungsverfahren) in der Fassung der Bekanntmachung vom 29. Mai 1992 (BGBl I. S. 1001), </w:t>
      </w:r>
      <w:r w:rsidR="00894F7A">
        <w:t>zuletzt geändert durch Artikel 10</w:t>
      </w:r>
      <w:r w:rsidRPr="00090AA0">
        <w:t xml:space="preserve"> de</w:t>
      </w:r>
      <w:r w:rsidR="00894F7A">
        <w:t>s Gesetzes vom 22. März 2023</w:t>
      </w:r>
      <w:r w:rsidRPr="00090AA0">
        <w:t xml:space="preserve"> (BGBl. </w:t>
      </w:r>
      <w:r w:rsidR="00894F7A">
        <w:t>2023 I Nr. 88</w:t>
      </w:r>
      <w:r w:rsidRPr="00090AA0">
        <w:t xml:space="preserve">) wird die Entscheidung vom </w:t>
      </w:r>
      <w:r w:rsidR="00E2255B" w:rsidRPr="00090AA0">
        <w:t>04.01.2024</w:t>
      </w:r>
      <w:r w:rsidRPr="00615DF6">
        <w:t xml:space="preserve"> </w:t>
      </w:r>
      <w:r>
        <w:t xml:space="preserve">über den Antrag </w:t>
      </w:r>
      <w:r w:rsidR="00E2255B">
        <w:t xml:space="preserve">der Windmüller </w:t>
      </w:r>
      <w:proofErr w:type="spellStart"/>
      <w:r w:rsidR="00E2255B">
        <w:t>Upgant</w:t>
      </w:r>
      <w:proofErr w:type="spellEnd"/>
      <w:r w:rsidR="00E2255B">
        <w:t>-Schott GmbH &amp; Co. KG</w:t>
      </w:r>
      <w:r>
        <w:rPr>
          <w:rFonts w:cs="Arial"/>
        </w:rPr>
        <w:t xml:space="preserve">, </w:t>
      </w:r>
      <w:proofErr w:type="spellStart"/>
      <w:r w:rsidR="00E2255B">
        <w:rPr>
          <w:rFonts w:cs="Arial"/>
        </w:rPr>
        <w:t>Wundel</w:t>
      </w:r>
      <w:proofErr w:type="spellEnd"/>
      <w:r w:rsidR="00E2255B">
        <w:rPr>
          <w:rFonts w:cs="Arial"/>
        </w:rPr>
        <w:t xml:space="preserve"> 1</w:t>
      </w:r>
      <w:r>
        <w:rPr>
          <w:rFonts w:cs="Arial"/>
        </w:rPr>
        <w:t>, 26</w:t>
      </w:r>
      <w:r w:rsidR="00E2255B">
        <w:rPr>
          <w:rFonts w:cs="Arial"/>
        </w:rPr>
        <w:t xml:space="preserve">529 </w:t>
      </w:r>
      <w:proofErr w:type="spellStart"/>
      <w:r w:rsidR="00E2255B">
        <w:rPr>
          <w:rFonts w:cs="Arial"/>
        </w:rPr>
        <w:t>Upgant</w:t>
      </w:r>
      <w:proofErr w:type="spellEnd"/>
      <w:r w:rsidR="00E2255B">
        <w:rPr>
          <w:rFonts w:cs="Arial"/>
        </w:rPr>
        <w:t>-Schott</w:t>
      </w:r>
      <w:r>
        <w:rPr>
          <w:rFonts w:cs="Arial"/>
        </w:rPr>
        <w:t>,</w:t>
      </w:r>
      <w:r>
        <w:rPr>
          <w:rFonts w:eastAsia="Arial Unicode MS"/>
          <w:bCs/>
          <w:szCs w:val="20"/>
        </w:rPr>
        <w:t xml:space="preserve"> auf Erteilung einer Genehmigung zur</w:t>
      </w:r>
      <w:r w:rsidR="00E2255B">
        <w:rPr>
          <w:rFonts w:eastAsia="Arial Unicode MS"/>
          <w:bCs/>
          <w:szCs w:val="20"/>
        </w:rPr>
        <w:t xml:space="preserve"> Errichtung und zum Betrieb von sechs</w:t>
      </w:r>
      <w:r>
        <w:rPr>
          <w:rFonts w:eastAsia="Arial Unicode MS"/>
          <w:bCs/>
          <w:szCs w:val="20"/>
        </w:rPr>
        <w:t xml:space="preserve"> Windenergieanlage</w:t>
      </w:r>
      <w:r w:rsidR="00E2255B">
        <w:rPr>
          <w:rFonts w:eastAsia="Arial Unicode MS"/>
          <w:bCs/>
          <w:szCs w:val="20"/>
        </w:rPr>
        <w:t>n</w:t>
      </w:r>
      <w:r>
        <w:rPr>
          <w:rFonts w:eastAsia="Arial Unicode MS"/>
          <w:bCs/>
          <w:szCs w:val="20"/>
        </w:rPr>
        <w:t xml:space="preserve"> des Typs </w:t>
      </w:r>
      <w:r w:rsidR="00E2255B">
        <w:rPr>
          <w:rFonts w:eastAsia="Arial Unicode MS"/>
          <w:szCs w:val="20"/>
        </w:rPr>
        <w:t>Enercon E-70 E4</w:t>
      </w:r>
      <w:r>
        <w:rPr>
          <w:rFonts w:eastAsia="Arial Unicode MS"/>
          <w:szCs w:val="20"/>
        </w:rPr>
        <w:t xml:space="preserve"> m</w:t>
      </w:r>
      <w:r w:rsidR="00E2255B">
        <w:rPr>
          <w:rFonts w:eastAsia="Arial Unicode MS"/>
          <w:szCs w:val="20"/>
        </w:rPr>
        <w:t>it einer Nabenhöhe von 64</w:t>
      </w:r>
      <w:r>
        <w:rPr>
          <w:rFonts w:eastAsia="Arial Unicode MS"/>
          <w:szCs w:val="20"/>
        </w:rPr>
        <w:t xml:space="preserve"> m, einer Gesamthöhe von </w:t>
      </w:r>
      <w:r w:rsidR="00E2255B">
        <w:rPr>
          <w:rFonts w:eastAsia="Arial Unicode MS"/>
          <w:szCs w:val="20"/>
        </w:rPr>
        <w:t>99,5</w:t>
      </w:r>
      <w:r>
        <w:rPr>
          <w:rFonts w:eastAsia="Arial Unicode MS"/>
          <w:szCs w:val="20"/>
        </w:rPr>
        <w:t xml:space="preserve"> m und einer Nennleistung von </w:t>
      </w:r>
      <w:r w:rsidR="00E2255B">
        <w:rPr>
          <w:rFonts w:eastAsia="Arial Unicode MS"/>
          <w:szCs w:val="20"/>
        </w:rPr>
        <w:t xml:space="preserve">je </w:t>
      </w:r>
      <w:r>
        <w:rPr>
          <w:rFonts w:eastAsia="Arial Unicode MS"/>
          <w:szCs w:val="20"/>
        </w:rPr>
        <w:t xml:space="preserve">2.300 kW </w:t>
      </w:r>
      <w:r w:rsidR="007E032F">
        <w:rPr>
          <w:rFonts w:eastAsia="Arial Unicode MS"/>
          <w:bCs/>
          <w:szCs w:val="20"/>
        </w:rPr>
        <w:t>öffentlich bekannt gemacht.</w:t>
      </w:r>
    </w:p>
    <w:p w:rsidR="00325E8E" w:rsidRDefault="00325E8E" w:rsidP="00325E8E">
      <w:pPr>
        <w:jc w:val="both"/>
        <w:rPr>
          <w:rFonts w:eastAsia="Arial Unicode MS"/>
          <w:bCs/>
          <w:szCs w:val="20"/>
        </w:rPr>
      </w:pPr>
    </w:p>
    <w:p w:rsidR="00325E8E" w:rsidRDefault="00325E8E" w:rsidP="007E032F">
      <w:pPr>
        <w:ind w:right="566"/>
        <w:jc w:val="both"/>
        <w:rPr>
          <w:rFonts w:ascii="AgfaRotisSansSerif" w:hAnsi="AgfaRotisSansSerif"/>
          <w:b/>
        </w:rPr>
      </w:pPr>
      <w:r>
        <w:rPr>
          <w:b/>
        </w:rPr>
        <w:t>I. Verfügender Teil des Bescheides (Tenor):</w:t>
      </w:r>
    </w:p>
    <w:p w:rsidR="00E145EC" w:rsidRDefault="00E145EC" w:rsidP="007E032F">
      <w:pPr>
        <w:ind w:right="566"/>
        <w:jc w:val="both"/>
        <w:rPr>
          <w:rFonts w:ascii="Calibri" w:hAnsi="Calibri"/>
          <w:szCs w:val="20"/>
        </w:rPr>
      </w:pPr>
      <w:r>
        <w:rPr>
          <w:szCs w:val="20"/>
        </w:rPr>
        <w:t>Auf Grund des § 4</w:t>
      </w:r>
      <w:r w:rsidR="00615DF6">
        <w:rPr>
          <w:szCs w:val="20"/>
        </w:rPr>
        <w:t xml:space="preserve"> in Verbindung mit § 10 BImSchG</w:t>
      </w:r>
      <w:r>
        <w:rPr>
          <w:szCs w:val="20"/>
        </w:rPr>
        <w:t xml:space="preserve"> und Nr. 1.6.</w:t>
      </w:r>
      <w:r w:rsidR="00615DF6">
        <w:rPr>
          <w:szCs w:val="20"/>
        </w:rPr>
        <w:t>2 des Anhanges 1 der 4. BImSchV</w:t>
      </w:r>
      <w:r>
        <w:rPr>
          <w:szCs w:val="20"/>
        </w:rPr>
        <w:t xml:space="preserve"> erteile ich hiermit nach Maßgabe dieses Bescheides unbeschadet der Rechte Dritter die Genehmigung zur Errichtung und zum Betrieb von sechs Windenergieanlagen des Typs Enercon E-70 E4 mit einer Nabenhöhe von 64 m, einer Gesamthöhe von 99,5 m und einer Nennleistung von je 2.300 kW.</w:t>
      </w:r>
    </w:p>
    <w:p w:rsidR="00E145EC" w:rsidRDefault="00E145EC" w:rsidP="007E032F">
      <w:pPr>
        <w:ind w:right="566"/>
        <w:jc w:val="both"/>
        <w:rPr>
          <w:szCs w:val="20"/>
          <w:highlight w:val="yellow"/>
        </w:rPr>
      </w:pPr>
    </w:p>
    <w:p w:rsidR="00E145EC" w:rsidRDefault="00E145EC" w:rsidP="007E032F">
      <w:pPr>
        <w:ind w:right="566"/>
        <w:jc w:val="both"/>
        <w:rPr>
          <w:szCs w:val="24"/>
          <w:u w:val="single"/>
        </w:rPr>
      </w:pPr>
      <w:r>
        <w:rPr>
          <w:b/>
          <w:bCs/>
          <w:u w:val="single"/>
        </w:rPr>
        <w:t>Standorte</w:t>
      </w:r>
      <w:r>
        <w:rPr>
          <w:u w:val="single"/>
        </w:rPr>
        <w:t xml:space="preserve"> der sechs Anlagen:</w:t>
      </w:r>
    </w:p>
    <w:p w:rsidR="00E145EC" w:rsidRDefault="00E145EC" w:rsidP="007E032F">
      <w:pPr>
        <w:ind w:right="566"/>
        <w:jc w:val="both"/>
      </w:pPr>
    </w:p>
    <w:p w:rsidR="00E145EC" w:rsidRDefault="00E145EC" w:rsidP="007E032F">
      <w:pPr>
        <w:ind w:left="284" w:right="566"/>
        <w:jc w:val="both"/>
        <w:rPr>
          <w:u w:val="single"/>
        </w:rPr>
      </w:pPr>
      <w:r>
        <w:rPr>
          <w:u w:val="single"/>
        </w:rPr>
        <w:t>WEA 01</w:t>
      </w:r>
    </w:p>
    <w:p w:rsidR="00E145EC" w:rsidRDefault="00E145EC" w:rsidP="007E032F">
      <w:pPr>
        <w:tabs>
          <w:tab w:val="left" w:pos="708"/>
          <w:tab w:val="center" w:pos="4536"/>
          <w:tab w:val="right" w:pos="9072"/>
        </w:tabs>
        <w:ind w:left="284" w:right="566"/>
        <w:jc w:val="both"/>
      </w:pPr>
      <w:r>
        <w:t xml:space="preserve">26529 </w:t>
      </w:r>
      <w:proofErr w:type="spellStart"/>
      <w:r>
        <w:t>Upgant</w:t>
      </w:r>
      <w:proofErr w:type="spellEnd"/>
      <w:r>
        <w:t xml:space="preserve">-Schott, Gemarkung: </w:t>
      </w:r>
      <w:proofErr w:type="spellStart"/>
      <w:r>
        <w:t>Upgant</w:t>
      </w:r>
      <w:proofErr w:type="spellEnd"/>
      <w:r>
        <w:t>-Schott, Flur 13, Flurstück 2/2</w:t>
      </w:r>
    </w:p>
    <w:p w:rsidR="00E145EC" w:rsidRDefault="00E145EC" w:rsidP="007E032F">
      <w:pPr>
        <w:tabs>
          <w:tab w:val="left" w:pos="1560"/>
        </w:tabs>
        <w:ind w:right="566" w:firstLine="284"/>
        <w:jc w:val="both"/>
      </w:pPr>
      <w:r>
        <w:t>Koordinaten:</w:t>
      </w:r>
      <w:r>
        <w:tab/>
        <w:t>UTM ETRS89: RW 383.086; HW 5.929.630</w:t>
      </w:r>
    </w:p>
    <w:p w:rsidR="00E145EC" w:rsidRDefault="00E145EC" w:rsidP="007E032F">
      <w:pPr>
        <w:ind w:left="284" w:right="566"/>
        <w:jc w:val="both"/>
        <w:rPr>
          <w:highlight w:val="yellow"/>
        </w:rPr>
      </w:pPr>
    </w:p>
    <w:p w:rsidR="00E145EC" w:rsidRDefault="00E145EC" w:rsidP="007E032F">
      <w:pPr>
        <w:ind w:left="284" w:right="566"/>
        <w:jc w:val="both"/>
        <w:rPr>
          <w:u w:val="single"/>
        </w:rPr>
      </w:pPr>
      <w:r>
        <w:rPr>
          <w:u w:val="single"/>
        </w:rPr>
        <w:t>WEA 02</w:t>
      </w:r>
    </w:p>
    <w:p w:rsidR="00E145EC" w:rsidRDefault="00E145EC" w:rsidP="007E032F">
      <w:pPr>
        <w:tabs>
          <w:tab w:val="left" w:pos="708"/>
          <w:tab w:val="center" w:pos="4536"/>
          <w:tab w:val="right" w:pos="9072"/>
        </w:tabs>
        <w:ind w:left="284" w:right="566"/>
        <w:jc w:val="both"/>
      </w:pPr>
      <w:r>
        <w:t xml:space="preserve">26529 </w:t>
      </w:r>
      <w:proofErr w:type="spellStart"/>
      <w:r>
        <w:t>Upgant</w:t>
      </w:r>
      <w:proofErr w:type="spellEnd"/>
      <w:r>
        <w:t xml:space="preserve">-Schott, Gemarkung: </w:t>
      </w:r>
      <w:proofErr w:type="spellStart"/>
      <w:r>
        <w:t>Upgant</w:t>
      </w:r>
      <w:proofErr w:type="spellEnd"/>
      <w:r>
        <w:t>-Schott, Flur 13, Flurstück 3/3</w:t>
      </w:r>
    </w:p>
    <w:p w:rsidR="00E145EC" w:rsidRDefault="00E145EC" w:rsidP="007E032F">
      <w:pPr>
        <w:tabs>
          <w:tab w:val="left" w:pos="1560"/>
        </w:tabs>
        <w:ind w:right="566" w:firstLine="284"/>
        <w:jc w:val="both"/>
      </w:pPr>
      <w:r>
        <w:t>Koordinaten:</w:t>
      </w:r>
      <w:r>
        <w:tab/>
        <w:t>UTM ETRS89: RW 382.870; HW 5.929.484</w:t>
      </w:r>
    </w:p>
    <w:p w:rsidR="00E145EC" w:rsidRDefault="00E145EC" w:rsidP="007E032F">
      <w:pPr>
        <w:tabs>
          <w:tab w:val="left" w:pos="708"/>
          <w:tab w:val="center" w:pos="4536"/>
          <w:tab w:val="right" w:pos="9072"/>
        </w:tabs>
        <w:ind w:left="284" w:right="566"/>
        <w:jc w:val="both"/>
        <w:rPr>
          <w:highlight w:val="yellow"/>
        </w:rPr>
      </w:pPr>
    </w:p>
    <w:p w:rsidR="00E145EC" w:rsidRDefault="00E145EC" w:rsidP="007E032F">
      <w:pPr>
        <w:ind w:left="284" w:right="566"/>
        <w:jc w:val="both"/>
        <w:rPr>
          <w:u w:val="single"/>
        </w:rPr>
      </w:pPr>
      <w:r>
        <w:rPr>
          <w:u w:val="single"/>
        </w:rPr>
        <w:t>WEA 03</w:t>
      </w:r>
    </w:p>
    <w:p w:rsidR="00E145EC" w:rsidRDefault="00E145EC" w:rsidP="007E032F">
      <w:pPr>
        <w:tabs>
          <w:tab w:val="left" w:pos="708"/>
          <w:tab w:val="center" w:pos="4536"/>
          <w:tab w:val="right" w:pos="9072"/>
        </w:tabs>
        <w:ind w:left="284" w:right="566"/>
        <w:jc w:val="both"/>
      </w:pPr>
      <w:r>
        <w:t xml:space="preserve">26529 </w:t>
      </w:r>
      <w:proofErr w:type="spellStart"/>
      <w:r>
        <w:t>Upgant</w:t>
      </w:r>
      <w:proofErr w:type="spellEnd"/>
      <w:r>
        <w:t xml:space="preserve">-Schott, Gemarkung: </w:t>
      </w:r>
      <w:proofErr w:type="spellStart"/>
      <w:r>
        <w:t>Upgant</w:t>
      </w:r>
      <w:proofErr w:type="spellEnd"/>
      <w:r>
        <w:t>-Schott, Flur 13, Flurstück 33/3 und 5/2</w:t>
      </w:r>
    </w:p>
    <w:p w:rsidR="00E145EC" w:rsidRDefault="00E145EC" w:rsidP="007E032F">
      <w:pPr>
        <w:tabs>
          <w:tab w:val="left" w:pos="1560"/>
        </w:tabs>
        <w:ind w:right="566" w:firstLine="284"/>
        <w:jc w:val="both"/>
      </w:pPr>
      <w:r>
        <w:t>Koordinaten:</w:t>
      </w:r>
      <w:r>
        <w:tab/>
        <w:t>UTM ETRS89: RW 383.186; HW 5.929.445</w:t>
      </w:r>
    </w:p>
    <w:p w:rsidR="00E145EC" w:rsidRDefault="00E145EC" w:rsidP="007E032F">
      <w:pPr>
        <w:ind w:right="566"/>
        <w:jc w:val="both"/>
      </w:pPr>
    </w:p>
    <w:p w:rsidR="00E145EC" w:rsidRDefault="00E145EC" w:rsidP="007E032F">
      <w:pPr>
        <w:ind w:left="284" w:right="566"/>
        <w:jc w:val="both"/>
        <w:rPr>
          <w:u w:val="single"/>
        </w:rPr>
      </w:pPr>
      <w:r>
        <w:rPr>
          <w:u w:val="single"/>
        </w:rPr>
        <w:t>WEA 04</w:t>
      </w:r>
    </w:p>
    <w:p w:rsidR="00E145EC" w:rsidRDefault="00E145EC" w:rsidP="007E032F">
      <w:pPr>
        <w:tabs>
          <w:tab w:val="left" w:pos="708"/>
          <w:tab w:val="center" w:pos="4536"/>
          <w:tab w:val="right" w:pos="9072"/>
        </w:tabs>
        <w:ind w:left="284" w:right="566"/>
        <w:jc w:val="both"/>
      </w:pPr>
      <w:r>
        <w:t xml:space="preserve">26529 </w:t>
      </w:r>
      <w:proofErr w:type="spellStart"/>
      <w:r>
        <w:t>Upgant</w:t>
      </w:r>
      <w:proofErr w:type="spellEnd"/>
      <w:r>
        <w:t xml:space="preserve">-Schott, Gemarkung: </w:t>
      </w:r>
      <w:proofErr w:type="spellStart"/>
      <w:r>
        <w:t>Upgant</w:t>
      </w:r>
      <w:proofErr w:type="spellEnd"/>
      <w:r>
        <w:t>-Schott, Flur 13, Flurstück 5/2 und 8/1</w:t>
      </w:r>
    </w:p>
    <w:p w:rsidR="00E145EC" w:rsidRDefault="00E145EC" w:rsidP="007E032F">
      <w:pPr>
        <w:tabs>
          <w:tab w:val="left" w:pos="1560"/>
        </w:tabs>
        <w:ind w:right="566" w:firstLine="284"/>
        <w:jc w:val="both"/>
      </w:pPr>
      <w:r>
        <w:t>Koordinaten:</w:t>
      </w:r>
      <w:r>
        <w:tab/>
        <w:t>UTM ETRS89: RW 382.898; HW 5.929.265</w:t>
      </w:r>
    </w:p>
    <w:p w:rsidR="00E145EC" w:rsidRDefault="00E145EC" w:rsidP="007E032F">
      <w:pPr>
        <w:ind w:left="284" w:right="566" w:firstLine="708"/>
        <w:jc w:val="both"/>
      </w:pPr>
    </w:p>
    <w:p w:rsidR="00E145EC" w:rsidRDefault="00E145EC" w:rsidP="007E032F">
      <w:pPr>
        <w:ind w:left="284" w:right="566"/>
        <w:jc w:val="both"/>
        <w:rPr>
          <w:u w:val="single"/>
        </w:rPr>
      </w:pPr>
      <w:r>
        <w:rPr>
          <w:u w:val="single"/>
        </w:rPr>
        <w:t>WEA 05</w:t>
      </w:r>
    </w:p>
    <w:p w:rsidR="00E145EC" w:rsidRDefault="00E145EC" w:rsidP="007E032F">
      <w:pPr>
        <w:tabs>
          <w:tab w:val="left" w:pos="708"/>
          <w:tab w:val="center" w:pos="4536"/>
          <w:tab w:val="right" w:pos="9072"/>
        </w:tabs>
        <w:ind w:left="284" w:right="566"/>
        <w:jc w:val="both"/>
      </w:pPr>
      <w:r>
        <w:t xml:space="preserve">26529 </w:t>
      </w:r>
      <w:proofErr w:type="spellStart"/>
      <w:r>
        <w:t>Upgant</w:t>
      </w:r>
      <w:proofErr w:type="spellEnd"/>
      <w:r>
        <w:t xml:space="preserve">-Schott, Gemarkung: </w:t>
      </w:r>
      <w:proofErr w:type="spellStart"/>
      <w:r>
        <w:t>Upgant</w:t>
      </w:r>
      <w:proofErr w:type="spellEnd"/>
      <w:r>
        <w:t>-Schott, Flur 13, Flurstück 5/2 und 23</w:t>
      </w:r>
    </w:p>
    <w:p w:rsidR="00E145EC" w:rsidRDefault="00E145EC" w:rsidP="007E032F">
      <w:pPr>
        <w:tabs>
          <w:tab w:val="left" w:pos="1560"/>
        </w:tabs>
        <w:ind w:right="566" w:firstLine="284"/>
        <w:jc w:val="both"/>
      </w:pPr>
      <w:r>
        <w:t>Koordinaten:</w:t>
      </w:r>
      <w:r>
        <w:tab/>
        <w:t>UTM ETRS89: RW 383.157; HW 5.929.224</w:t>
      </w:r>
    </w:p>
    <w:p w:rsidR="00E145EC" w:rsidRDefault="00E145EC" w:rsidP="007E032F">
      <w:pPr>
        <w:ind w:left="284" w:right="566" w:firstLine="708"/>
        <w:jc w:val="both"/>
      </w:pPr>
    </w:p>
    <w:p w:rsidR="00E145EC" w:rsidRDefault="00E145EC" w:rsidP="007E032F">
      <w:pPr>
        <w:ind w:left="284" w:right="566"/>
        <w:jc w:val="both"/>
        <w:rPr>
          <w:u w:val="single"/>
        </w:rPr>
      </w:pPr>
      <w:r>
        <w:rPr>
          <w:u w:val="single"/>
        </w:rPr>
        <w:t>WEA 06</w:t>
      </w:r>
    </w:p>
    <w:p w:rsidR="00E145EC" w:rsidRDefault="00E145EC" w:rsidP="007E032F">
      <w:pPr>
        <w:tabs>
          <w:tab w:val="left" w:pos="708"/>
          <w:tab w:val="center" w:pos="4536"/>
          <w:tab w:val="right" w:pos="9072"/>
        </w:tabs>
        <w:ind w:left="284" w:right="566"/>
        <w:jc w:val="both"/>
      </w:pPr>
      <w:r>
        <w:t xml:space="preserve">26529 </w:t>
      </w:r>
      <w:proofErr w:type="spellStart"/>
      <w:r>
        <w:t>Upgant</w:t>
      </w:r>
      <w:proofErr w:type="spellEnd"/>
      <w:r>
        <w:t xml:space="preserve">-Schott, Gemarkung: </w:t>
      </w:r>
      <w:proofErr w:type="spellStart"/>
      <w:r>
        <w:t>Upgant</w:t>
      </w:r>
      <w:proofErr w:type="spellEnd"/>
      <w:r>
        <w:t>-Schott, Flur 13, Flurstück 8/1</w:t>
      </w:r>
    </w:p>
    <w:p w:rsidR="00E145EC" w:rsidRDefault="00E145EC" w:rsidP="007E032F">
      <w:pPr>
        <w:tabs>
          <w:tab w:val="left" w:pos="1560"/>
        </w:tabs>
        <w:ind w:right="566" w:firstLine="284"/>
        <w:jc w:val="both"/>
      </w:pPr>
      <w:r>
        <w:t>Koordinaten:</w:t>
      </w:r>
      <w:r>
        <w:tab/>
        <w:t>UTM ETRS89: RW 383.002; HW 5.929.059</w:t>
      </w:r>
    </w:p>
    <w:p w:rsidR="00E145EC" w:rsidRDefault="00E145EC" w:rsidP="007E032F">
      <w:pPr>
        <w:ind w:right="566"/>
        <w:jc w:val="both"/>
        <w:rPr>
          <w:highlight w:val="yellow"/>
          <w:u w:val="single"/>
        </w:rPr>
      </w:pPr>
    </w:p>
    <w:p w:rsidR="00E145EC" w:rsidRDefault="00E145EC" w:rsidP="007E032F">
      <w:pPr>
        <w:ind w:right="566"/>
        <w:jc w:val="both"/>
      </w:pPr>
      <w:r>
        <w:t xml:space="preserve">Gemäß § 13 BImSchG schließt diese Genehmigung andere, die Anlage betreffende behördliche Entscheidungen ein, insbesondere die nach der </w:t>
      </w:r>
      <w:proofErr w:type="spellStart"/>
      <w:r>
        <w:t>NBauO</w:t>
      </w:r>
      <w:proofErr w:type="spellEnd"/>
      <w:r w:rsidR="00090AA0">
        <w:rPr>
          <w:bCs/>
        </w:rPr>
        <w:t xml:space="preserve"> </w:t>
      </w:r>
      <w:r>
        <w:t xml:space="preserve">erforderliche Baugenehmigung, mit Ausnahme von Planfeststellungen, Zulassungen bergrechtlicher Betriebspläne, behördlichen Entscheidungen auf Grund atomrechtlicher Vorschriften und wasserrechtlichen Erlaubnissen und Bewilligungen nach § 8 </w:t>
      </w:r>
      <w:proofErr w:type="spellStart"/>
      <w:r>
        <w:t>i.V.m</w:t>
      </w:r>
      <w:proofErr w:type="spellEnd"/>
      <w:r>
        <w:t>. § 10 WHG.</w:t>
      </w:r>
    </w:p>
    <w:p w:rsidR="00E145EC" w:rsidRDefault="00E145EC" w:rsidP="007E032F">
      <w:pPr>
        <w:ind w:right="566"/>
        <w:jc w:val="both"/>
        <w:rPr>
          <w:highlight w:val="yellow"/>
        </w:rPr>
      </w:pPr>
    </w:p>
    <w:p w:rsidR="007E032F" w:rsidRDefault="007E032F">
      <w:pPr>
        <w:rPr>
          <w:bCs/>
        </w:rPr>
      </w:pPr>
      <w:r>
        <w:rPr>
          <w:bCs/>
        </w:rPr>
        <w:br w:type="page"/>
      </w:r>
    </w:p>
    <w:p w:rsidR="00E145EC" w:rsidRDefault="00E145EC" w:rsidP="007E032F">
      <w:pPr>
        <w:ind w:right="566"/>
        <w:jc w:val="both"/>
        <w:rPr>
          <w:szCs w:val="24"/>
        </w:rPr>
      </w:pPr>
      <w:r>
        <w:rPr>
          <w:bCs/>
        </w:rPr>
        <w:lastRenderedPageBreak/>
        <w:t>Alle</w:t>
      </w:r>
      <w:r>
        <w:t xml:space="preserve"> in den vorgelegten Gutachten und Prüfdokumenten aufgeführten Auflagen und Bedingungen sind zu erfüllen. Die Gutachten und die Prüfdokumente sind Bestandteil dieser Genehmigung und die dort beschriebenen Maßnahmen/Empfehlungen umzusetzen. </w:t>
      </w:r>
    </w:p>
    <w:p w:rsidR="00E145EC" w:rsidRDefault="00E145EC" w:rsidP="007E032F">
      <w:pPr>
        <w:ind w:right="566"/>
        <w:jc w:val="both"/>
        <w:rPr>
          <w:highlight w:val="yellow"/>
        </w:rPr>
      </w:pPr>
    </w:p>
    <w:p w:rsidR="00325E8E" w:rsidRDefault="00E145EC" w:rsidP="007E032F">
      <w:pPr>
        <w:ind w:right="566"/>
        <w:jc w:val="both"/>
      </w:pPr>
      <w:r>
        <w:t xml:space="preserve">Für diese Genehmigung werden Kosten (Gebühren und Auslagen) erhoben, die von der Antragstellerin zu tragen sind. </w:t>
      </w:r>
      <w:r>
        <w:rPr>
          <w:bCs/>
        </w:rPr>
        <w:t>Wegen der Höhe der Kosten ergeht ein gesonderter Bescheid.</w:t>
      </w:r>
    </w:p>
    <w:p w:rsidR="00325E8E" w:rsidRDefault="00325E8E" w:rsidP="007E032F">
      <w:pPr>
        <w:ind w:right="566"/>
        <w:jc w:val="both"/>
        <w:rPr>
          <w:rFonts w:eastAsia="Arial Unicode MS"/>
          <w:bCs/>
          <w:szCs w:val="20"/>
        </w:rPr>
      </w:pPr>
    </w:p>
    <w:p w:rsidR="00325E8E" w:rsidRDefault="00325E8E" w:rsidP="007E032F">
      <w:pPr>
        <w:ind w:right="566"/>
        <w:jc w:val="both"/>
        <w:rPr>
          <w:rFonts w:ascii="Calibri" w:hAnsi="Calibri"/>
          <w:b/>
        </w:rPr>
      </w:pPr>
      <w:r>
        <w:rPr>
          <w:rFonts w:ascii="Calibri" w:hAnsi="Calibri"/>
          <w:b/>
        </w:rPr>
        <w:t>II. Nebenbestimmungen und Hinweise des Bescheides:</w:t>
      </w:r>
    </w:p>
    <w:p w:rsidR="00325E8E" w:rsidRDefault="00325E8E" w:rsidP="007E032F">
      <w:pPr>
        <w:ind w:right="566"/>
        <w:jc w:val="both"/>
        <w:rPr>
          <w:rFonts w:ascii="Calibri" w:hAnsi="Calibri"/>
        </w:rPr>
      </w:pPr>
      <w:r>
        <w:rPr>
          <w:rFonts w:ascii="Calibri" w:hAnsi="Calibri"/>
        </w:rPr>
        <w:t>Der Genehmigungsbescheid ist mit Nebenbestimmungen (Bedingungen, Auflagen, Auflagenvorbehalt) und Hinweisen versehen.</w:t>
      </w:r>
    </w:p>
    <w:p w:rsidR="00325E8E" w:rsidRDefault="00325E8E" w:rsidP="007E032F">
      <w:pPr>
        <w:ind w:right="566"/>
        <w:jc w:val="both"/>
        <w:rPr>
          <w:rFonts w:ascii="Calibri" w:hAnsi="Calibri"/>
        </w:rPr>
      </w:pPr>
    </w:p>
    <w:p w:rsidR="00325E8E" w:rsidRDefault="00325E8E" w:rsidP="007E032F">
      <w:pPr>
        <w:ind w:right="566"/>
        <w:jc w:val="both"/>
        <w:rPr>
          <w:rFonts w:ascii="Calibri" w:hAnsi="Calibri"/>
          <w:b/>
        </w:rPr>
      </w:pPr>
      <w:r>
        <w:rPr>
          <w:rFonts w:ascii="Calibri" w:hAnsi="Calibri"/>
          <w:b/>
        </w:rPr>
        <w:t>III. Rechtsbehelfsbelehrung:</w:t>
      </w:r>
    </w:p>
    <w:p w:rsidR="00325E8E" w:rsidRDefault="00325E8E" w:rsidP="007E032F">
      <w:pPr>
        <w:ind w:right="566"/>
        <w:jc w:val="both"/>
        <w:rPr>
          <w:rFonts w:ascii="Calibri" w:hAnsi="Calibri"/>
        </w:rPr>
      </w:pPr>
      <w:r>
        <w:rPr>
          <w:rFonts w:ascii="Calibri" w:hAnsi="Calibri"/>
        </w:rPr>
        <w:t>Gegen diesen Bescheid kann innerhalb eines Monats nach Bekanntgabe Widerspruch beim Landkreis Aurich, Fischteichweg 7-13, 26603 Aurich, erhoben werden.</w:t>
      </w:r>
    </w:p>
    <w:p w:rsidR="00325E8E" w:rsidRDefault="00325E8E" w:rsidP="007E032F">
      <w:pPr>
        <w:ind w:right="566"/>
        <w:rPr>
          <w:rFonts w:ascii="Calibri" w:hAnsi="Calibri"/>
          <w:b/>
        </w:rPr>
      </w:pPr>
    </w:p>
    <w:p w:rsidR="00325E8E" w:rsidRDefault="00325E8E" w:rsidP="007E032F">
      <w:pPr>
        <w:ind w:right="566"/>
        <w:jc w:val="both"/>
        <w:rPr>
          <w:rFonts w:ascii="Calibri" w:hAnsi="Calibri"/>
          <w:b/>
        </w:rPr>
      </w:pPr>
      <w:r>
        <w:rPr>
          <w:rFonts w:ascii="Calibri" w:hAnsi="Calibri"/>
          <w:b/>
        </w:rPr>
        <w:t>IV. Auslegung</w:t>
      </w:r>
    </w:p>
    <w:p w:rsidR="00325E8E" w:rsidRDefault="00325E8E" w:rsidP="007E032F">
      <w:pPr>
        <w:ind w:right="566"/>
        <w:jc w:val="both"/>
        <w:rPr>
          <w:rFonts w:ascii="Calibri" w:hAnsi="Calibri"/>
        </w:rPr>
      </w:pPr>
      <w:r>
        <w:rPr>
          <w:rFonts w:ascii="Calibri" w:hAnsi="Calibri"/>
        </w:rPr>
        <w:t xml:space="preserve">Der Genehmigungsbescheid und seine Begründung sowie eine Ausfertigung der genehmigten Antragsunterlagen können in der Zeit </w:t>
      </w:r>
    </w:p>
    <w:p w:rsidR="00325E8E" w:rsidRDefault="00325E8E" w:rsidP="007E032F">
      <w:pPr>
        <w:ind w:right="566"/>
        <w:jc w:val="both"/>
        <w:rPr>
          <w:rFonts w:ascii="Calibri" w:eastAsia="Arial Unicode MS" w:hAnsi="Calibri"/>
          <w:bCs/>
          <w:szCs w:val="20"/>
        </w:rPr>
      </w:pPr>
    </w:p>
    <w:p w:rsidR="00325E8E" w:rsidRDefault="00325E8E" w:rsidP="007E032F">
      <w:pPr>
        <w:ind w:right="566"/>
        <w:jc w:val="center"/>
        <w:rPr>
          <w:rFonts w:ascii="Calibri" w:eastAsia="Arial Unicode MS" w:hAnsi="Calibri"/>
          <w:b/>
          <w:bCs/>
          <w:szCs w:val="20"/>
        </w:rPr>
      </w:pPr>
      <w:r w:rsidRPr="00894F7A">
        <w:rPr>
          <w:rFonts w:ascii="Calibri" w:eastAsia="Arial Unicode MS" w:hAnsi="Calibri"/>
          <w:b/>
          <w:bCs/>
          <w:szCs w:val="20"/>
        </w:rPr>
        <w:t xml:space="preserve">vom </w:t>
      </w:r>
      <w:r w:rsidR="007E032F" w:rsidRPr="00894F7A">
        <w:rPr>
          <w:rFonts w:ascii="Calibri" w:eastAsia="Arial Unicode MS" w:hAnsi="Calibri"/>
          <w:b/>
          <w:bCs/>
          <w:szCs w:val="20"/>
        </w:rPr>
        <w:t>26.01.2024</w:t>
      </w:r>
      <w:r w:rsidR="00E145EC" w:rsidRPr="00894F7A">
        <w:rPr>
          <w:rFonts w:ascii="Calibri" w:eastAsia="Arial Unicode MS" w:hAnsi="Calibri"/>
          <w:b/>
          <w:bCs/>
          <w:szCs w:val="20"/>
        </w:rPr>
        <w:t xml:space="preserve"> bis zum </w:t>
      </w:r>
      <w:r w:rsidR="007E032F" w:rsidRPr="00894F7A">
        <w:rPr>
          <w:rFonts w:ascii="Calibri" w:eastAsia="Arial Unicode MS" w:hAnsi="Calibri"/>
          <w:b/>
          <w:bCs/>
          <w:szCs w:val="20"/>
        </w:rPr>
        <w:t>09.02.2024</w:t>
      </w:r>
    </w:p>
    <w:p w:rsidR="00325E8E" w:rsidRDefault="00325E8E" w:rsidP="007E032F">
      <w:pPr>
        <w:ind w:right="566"/>
        <w:jc w:val="both"/>
        <w:rPr>
          <w:rFonts w:ascii="Calibri" w:eastAsia="Arial Unicode MS" w:hAnsi="Calibri"/>
          <w:bCs/>
          <w:szCs w:val="20"/>
        </w:rPr>
      </w:pPr>
    </w:p>
    <w:p w:rsidR="00325E8E" w:rsidRDefault="00325E8E" w:rsidP="007E032F">
      <w:pPr>
        <w:ind w:right="566"/>
        <w:jc w:val="both"/>
        <w:rPr>
          <w:rFonts w:ascii="Calibri" w:eastAsia="Arial Unicode MS" w:hAnsi="Calibri"/>
          <w:bCs/>
          <w:szCs w:val="20"/>
        </w:rPr>
      </w:pPr>
      <w:r>
        <w:rPr>
          <w:rFonts w:ascii="Calibri" w:eastAsia="Arial Unicode MS" w:hAnsi="Calibri"/>
          <w:bCs/>
          <w:szCs w:val="20"/>
        </w:rPr>
        <w:t xml:space="preserve">bei </w:t>
      </w:r>
      <w:r w:rsidR="007E032F">
        <w:rPr>
          <w:rFonts w:ascii="Calibri" w:eastAsia="Arial Unicode MS" w:hAnsi="Calibri"/>
          <w:bCs/>
          <w:szCs w:val="20"/>
        </w:rPr>
        <w:t xml:space="preserve">den </w:t>
      </w:r>
      <w:r>
        <w:rPr>
          <w:rFonts w:ascii="Calibri" w:eastAsia="Arial Unicode MS" w:hAnsi="Calibri"/>
          <w:bCs/>
          <w:szCs w:val="20"/>
        </w:rPr>
        <w:t>folgenden Stellen eingesehen werden:</w:t>
      </w:r>
    </w:p>
    <w:p w:rsidR="00325E8E" w:rsidRDefault="00325E8E" w:rsidP="007E032F">
      <w:pPr>
        <w:ind w:right="566"/>
        <w:jc w:val="both"/>
        <w:rPr>
          <w:rFonts w:ascii="Calibri" w:eastAsia="Arial Unicode MS" w:hAnsi="Calibri"/>
          <w:bCs/>
          <w:szCs w:val="20"/>
        </w:rPr>
      </w:pPr>
    </w:p>
    <w:p w:rsidR="00325E8E" w:rsidRDefault="00325E8E" w:rsidP="007E032F">
      <w:pPr>
        <w:tabs>
          <w:tab w:val="left" w:pos="426"/>
        </w:tabs>
        <w:ind w:right="566"/>
        <w:jc w:val="both"/>
        <w:rPr>
          <w:rFonts w:ascii="Calibri" w:hAnsi="Calibri"/>
          <w:bCs/>
        </w:rPr>
      </w:pPr>
      <w:r>
        <w:rPr>
          <w:rFonts w:ascii="Calibri" w:hAnsi="Calibri"/>
          <w:bCs/>
        </w:rPr>
        <w:t>-</w:t>
      </w:r>
      <w:r>
        <w:rPr>
          <w:rFonts w:ascii="Calibri" w:hAnsi="Calibri"/>
          <w:bCs/>
        </w:rPr>
        <w:tab/>
      </w:r>
      <w:r>
        <w:rPr>
          <w:rFonts w:ascii="Calibri" w:hAnsi="Calibri"/>
          <w:b/>
        </w:rPr>
        <w:t>Landkreis Aurich</w:t>
      </w:r>
    </w:p>
    <w:p w:rsidR="00325E8E" w:rsidRDefault="007E032F" w:rsidP="007E032F">
      <w:pPr>
        <w:ind w:right="566" w:firstLine="426"/>
        <w:jc w:val="both"/>
        <w:rPr>
          <w:rFonts w:ascii="Calibri" w:hAnsi="Calibri"/>
          <w:bCs/>
        </w:rPr>
      </w:pPr>
      <w:proofErr w:type="spellStart"/>
      <w:r>
        <w:rPr>
          <w:rFonts w:ascii="Calibri" w:hAnsi="Calibri"/>
          <w:bCs/>
        </w:rPr>
        <w:t>Kirchdorfer</w:t>
      </w:r>
      <w:proofErr w:type="spellEnd"/>
      <w:r>
        <w:rPr>
          <w:rFonts w:ascii="Calibri" w:hAnsi="Calibri"/>
          <w:bCs/>
        </w:rPr>
        <w:t xml:space="preserve"> Straße 7-9</w:t>
      </w:r>
    </w:p>
    <w:p w:rsidR="00325E8E" w:rsidRDefault="007E032F" w:rsidP="007E032F">
      <w:pPr>
        <w:ind w:right="566" w:firstLine="426"/>
        <w:jc w:val="both"/>
        <w:rPr>
          <w:rFonts w:ascii="Calibri" w:hAnsi="Calibri"/>
          <w:bCs/>
        </w:rPr>
      </w:pPr>
      <w:r>
        <w:rPr>
          <w:rFonts w:ascii="Calibri" w:hAnsi="Calibri"/>
          <w:bCs/>
        </w:rPr>
        <w:t>Zimmer-Nr. 111</w:t>
      </w:r>
    </w:p>
    <w:p w:rsidR="00325E8E" w:rsidRDefault="007E032F" w:rsidP="007E032F">
      <w:pPr>
        <w:ind w:right="566" w:firstLine="426"/>
        <w:jc w:val="both"/>
        <w:rPr>
          <w:rFonts w:ascii="Calibri" w:hAnsi="Calibri"/>
          <w:bCs/>
        </w:rPr>
      </w:pPr>
      <w:r>
        <w:rPr>
          <w:rFonts w:ascii="Calibri" w:hAnsi="Calibri"/>
          <w:bCs/>
        </w:rPr>
        <w:t>26603 Aurich</w:t>
      </w:r>
    </w:p>
    <w:p w:rsidR="00325E8E" w:rsidRDefault="00325E8E" w:rsidP="007E032F">
      <w:pPr>
        <w:ind w:right="566" w:firstLine="426"/>
        <w:jc w:val="both"/>
        <w:rPr>
          <w:rFonts w:ascii="Calibri" w:hAnsi="Calibri"/>
          <w:bCs/>
        </w:rPr>
      </w:pPr>
    </w:p>
    <w:p w:rsidR="007E032F" w:rsidRDefault="007E032F" w:rsidP="007E032F">
      <w:pPr>
        <w:ind w:left="426" w:right="566"/>
        <w:jc w:val="both"/>
        <w:rPr>
          <w:rFonts w:ascii="Calibri" w:hAnsi="Calibri"/>
          <w:bCs/>
        </w:rPr>
      </w:pPr>
      <w:r>
        <w:rPr>
          <w:rFonts w:ascii="Calibri" w:hAnsi="Calibri"/>
          <w:bCs/>
        </w:rPr>
        <w:t>Eine vorherige Anmeldung und Terminvereinbarung wird empfohlen: Tel.-Nr. 04941/16-6041 oder 16-6042</w:t>
      </w:r>
    </w:p>
    <w:p w:rsidR="007E032F" w:rsidRDefault="007E032F" w:rsidP="007E032F">
      <w:pPr>
        <w:ind w:right="566" w:firstLine="426"/>
        <w:jc w:val="both"/>
        <w:rPr>
          <w:rFonts w:ascii="Calibri" w:hAnsi="Calibri"/>
          <w:bCs/>
        </w:rPr>
      </w:pPr>
    </w:p>
    <w:p w:rsidR="007E032F" w:rsidRDefault="007E032F" w:rsidP="007E032F">
      <w:pPr>
        <w:ind w:right="566" w:firstLine="426"/>
        <w:jc w:val="both"/>
        <w:rPr>
          <w:rFonts w:ascii="Calibri" w:hAnsi="Calibri"/>
          <w:bCs/>
        </w:rPr>
      </w:pPr>
      <w:r>
        <w:rPr>
          <w:rFonts w:ascii="Calibri" w:hAnsi="Calibri"/>
          <w:bCs/>
        </w:rPr>
        <w:t>Montag bis Donnerstag in der Zeit von 08:00 Uhr bis 16:00 Uhr</w:t>
      </w:r>
    </w:p>
    <w:p w:rsidR="007E032F" w:rsidRDefault="007E032F" w:rsidP="007E032F">
      <w:pPr>
        <w:ind w:right="566" w:firstLine="426"/>
        <w:jc w:val="both"/>
        <w:rPr>
          <w:rFonts w:ascii="Calibri" w:hAnsi="Calibri"/>
          <w:bCs/>
        </w:rPr>
      </w:pPr>
      <w:r>
        <w:rPr>
          <w:rFonts w:ascii="Calibri" w:hAnsi="Calibri"/>
          <w:bCs/>
        </w:rPr>
        <w:t>Freitag in der Zeit von 08:00 Uhr bis 12:00 Uhr</w:t>
      </w:r>
    </w:p>
    <w:p w:rsidR="007E032F" w:rsidRDefault="007E032F" w:rsidP="007E032F">
      <w:pPr>
        <w:ind w:right="566" w:firstLine="426"/>
        <w:jc w:val="both"/>
        <w:rPr>
          <w:rFonts w:ascii="Calibri" w:hAnsi="Calibri"/>
          <w:bCs/>
        </w:rPr>
      </w:pPr>
    </w:p>
    <w:p w:rsidR="00325E8E" w:rsidRDefault="00325E8E" w:rsidP="007E032F">
      <w:pPr>
        <w:ind w:right="566"/>
        <w:jc w:val="both"/>
        <w:rPr>
          <w:rFonts w:ascii="Calibri" w:hAnsi="Calibri"/>
          <w:bCs/>
          <w:strike/>
          <w:highlight w:val="yellow"/>
        </w:rPr>
      </w:pPr>
    </w:p>
    <w:p w:rsidR="00325E8E" w:rsidRDefault="00E145EC" w:rsidP="007E032F">
      <w:pPr>
        <w:pStyle w:val="Listenabsatz"/>
        <w:numPr>
          <w:ilvl w:val="0"/>
          <w:numId w:val="1"/>
        </w:numPr>
        <w:ind w:left="426" w:right="566" w:hanging="426"/>
        <w:jc w:val="both"/>
        <w:rPr>
          <w:rFonts w:ascii="Calibri" w:eastAsia="Times New Roman" w:hAnsi="Calibri" w:cs="Times New Roman"/>
          <w:bCs/>
          <w:lang w:eastAsia="de-DE"/>
        </w:rPr>
      </w:pPr>
      <w:r>
        <w:rPr>
          <w:rFonts w:ascii="Calibri" w:eastAsia="Times New Roman" w:hAnsi="Calibri" w:cs="Times New Roman"/>
          <w:b/>
          <w:bCs/>
          <w:lang w:eastAsia="de-DE"/>
        </w:rPr>
        <w:t>Samtg</w:t>
      </w:r>
      <w:r w:rsidR="00325E8E">
        <w:rPr>
          <w:rFonts w:ascii="Calibri" w:eastAsia="Times New Roman" w:hAnsi="Calibri" w:cs="Times New Roman"/>
          <w:b/>
          <w:bCs/>
          <w:lang w:eastAsia="de-DE"/>
        </w:rPr>
        <w:t xml:space="preserve">emeinde </w:t>
      </w:r>
      <w:proofErr w:type="spellStart"/>
      <w:r>
        <w:rPr>
          <w:rFonts w:ascii="Calibri" w:eastAsia="Times New Roman" w:hAnsi="Calibri" w:cs="Times New Roman"/>
          <w:b/>
          <w:bCs/>
          <w:lang w:eastAsia="de-DE"/>
        </w:rPr>
        <w:t>Brookmerland</w:t>
      </w:r>
      <w:proofErr w:type="spellEnd"/>
    </w:p>
    <w:p w:rsidR="00325E8E" w:rsidRDefault="00184C97" w:rsidP="007E032F">
      <w:pPr>
        <w:ind w:left="426" w:right="566"/>
        <w:jc w:val="both"/>
        <w:rPr>
          <w:rFonts w:ascii="Calibri" w:hAnsi="Calibri"/>
          <w:bCs/>
        </w:rPr>
      </w:pPr>
      <w:r>
        <w:rPr>
          <w:rFonts w:ascii="Calibri" w:hAnsi="Calibri"/>
          <w:bCs/>
        </w:rPr>
        <w:t>Außenstelle</w:t>
      </w:r>
    </w:p>
    <w:p w:rsidR="00184C97" w:rsidRDefault="00184C97" w:rsidP="007E032F">
      <w:pPr>
        <w:ind w:left="426" w:right="566"/>
        <w:jc w:val="both"/>
        <w:rPr>
          <w:rFonts w:ascii="Calibri" w:eastAsiaTheme="minorHAnsi" w:hAnsi="Calibri" w:cstheme="minorBidi"/>
          <w:bCs/>
          <w:lang w:eastAsia="en-US"/>
        </w:rPr>
      </w:pPr>
      <w:r>
        <w:rPr>
          <w:rFonts w:ascii="Calibri" w:hAnsi="Calibri"/>
          <w:bCs/>
        </w:rPr>
        <w:t>Rosenstraße 7</w:t>
      </w:r>
    </w:p>
    <w:p w:rsidR="00325E8E" w:rsidRDefault="00B645E2" w:rsidP="007E032F">
      <w:pPr>
        <w:ind w:left="426" w:right="566"/>
        <w:jc w:val="both"/>
        <w:rPr>
          <w:rFonts w:ascii="Calibri" w:hAnsi="Calibri"/>
          <w:bCs/>
        </w:rPr>
      </w:pPr>
      <w:r>
        <w:rPr>
          <w:rFonts w:ascii="Calibri" w:hAnsi="Calibri"/>
          <w:bCs/>
        </w:rPr>
        <w:t xml:space="preserve">26529 </w:t>
      </w:r>
      <w:proofErr w:type="spellStart"/>
      <w:r>
        <w:rPr>
          <w:rFonts w:ascii="Calibri" w:hAnsi="Calibri"/>
          <w:bCs/>
        </w:rPr>
        <w:t>Marienhafe</w:t>
      </w:r>
      <w:proofErr w:type="spellEnd"/>
    </w:p>
    <w:p w:rsidR="00325E8E" w:rsidRDefault="00325E8E" w:rsidP="007E032F">
      <w:pPr>
        <w:ind w:left="426" w:right="566" w:hanging="426"/>
        <w:jc w:val="both"/>
        <w:rPr>
          <w:rFonts w:ascii="Calibri" w:hAnsi="Calibri"/>
          <w:bCs/>
          <w:highlight w:val="yellow"/>
        </w:rPr>
      </w:pPr>
    </w:p>
    <w:p w:rsidR="00325E8E" w:rsidRDefault="007E032F" w:rsidP="007E032F">
      <w:pPr>
        <w:ind w:left="426" w:right="566"/>
        <w:rPr>
          <w:rFonts w:ascii="Calibri" w:hAnsi="Calibri"/>
          <w:bCs/>
        </w:rPr>
      </w:pPr>
      <w:r>
        <w:rPr>
          <w:rFonts w:ascii="Calibri" w:hAnsi="Calibri"/>
          <w:bCs/>
        </w:rPr>
        <w:t>Eine v</w:t>
      </w:r>
      <w:r w:rsidR="00325E8E">
        <w:rPr>
          <w:rFonts w:ascii="Calibri" w:hAnsi="Calibri"/>
          <w:bCs/>
        </w:rPr>
        <w:t>orherig</w:t>
      </w:r>
      <w:r w:rsidR="00B645E2">
        <w:rPr>
          <w:rFonts w:ascii="Calibri" w:hAnsi="Calibri"/>
          <w:bCs/>
        </w:rPr>
        <w:t>e</w:t>
      </w:r>
      <w:r>
        <w:rPr>
          <w:rFonts w:ascii="Calibri" w:hAnsi="Calibri"/>
          <w:bCs/>
        </w:rPr>
        <w:t xml:space="preserve"> Anmeldung und</w:t>
      </w:r>
      <w:r w:rsidR="00B645E2">
        <w:rPr>
          <w:rFonts w:ascii="Calibri" w:hAnsi="Calibri"/>
          <w:bCs/>
        </w:rPr>
        <w:t xml:space="preserve"> Termin</w:t>
      </w:r>
      <w:r>
        <w:rPr>
          <w:rFonts w:ascii="Calibri" w:hAnsi="Calibri"/>
          <w:bCs/>
        </w:rPr>
        <w:t>vereinbarung wird empfohlen</w:t>
      </w:r>
      <w:r w:rsidR="00B645E2">
        <w:rPr>
          <w:rFonts w:ascii="Calibri" w:hAnsi="Calibri"/>
          <w:bCs/>
        </w:rPr>
        <w:t xml:space="preserve">: </w:t>
      </w:r>
      <w:r>
        <w:rPr>
          <w:rFonts w:ascii="Calibri" w:hAnsi="Calibri"/>
          <w:bCs/>
        </w:rPr>
        <w:t>Tel.-Nr. 04934/8</w:t>
      </w:r>
      <w:r w:rsidR="00B645E2">
        <w:rPr>
          <w:rFonts w:ascii="Calibri" w:hAnsi="Calibri"/>
          <w:bCs/>
        </w:rPr>
        <w:t>11</w:t>
      </w:r>
    </w:p>
    <w:p w:rsidR="00325E8E" w:rsidRDefault="00325E8E" w:rsidP="007E032F">
      <w:pPr>
        <w:ind w:left="426" w:right="566"/>
        <w:jc w:val="both"/>
        <w:rPr>
          <w:rFonts w:ascii="Calibri" w:hAnsi="Calibri"/>
          <w:bCs/>
        </w:rPr>
      </w:pPr>
    </w:p>
    <w:p w:rsidR="00325E8E" w:rsidRDefault="00325E8E" w:rsidP="007E032F">
      <w:pPr>
        <w:ind w:left="426" w:right="566"/>
        <w:jc w:val="both"/>
        <w:rPr>
          <w:rFonts w:ascii="Calibri" w:hAnsi="Calibri"/>
          <w:bCs/>
        </w:rPr>
      </w:pPr>
      <w:r>
        <w:rPr>
          <w:rFonts w:ascii="Calibri" w:hAnsi="Calibri"/>
          <w:bCs/>
        </w:rPr>
        <w:t>Montag</w:t>
      </w:r>
      <w:r w:rsidR="00B645E2">
        <w:rPr>
          <w:rFonts w:ascii="Calibri" w:hAnsi="Calibri"/>
          <w:bCs/>
        </w:rPr>
        <w:t xml:space="preserve"> bis Freitag in der Zeit von </w:t>
      </w:r>
      <w:r w:rsidR="007E032F">
        <w:rPr>
          <w:rFonts w:ascii="Calibri" w:hAnsi="Calibri"/>
          <w:bCs/>
        </w:rPr>
        <w:t>0</w:t>
      </w:r>
      <w:r w:rsidR="00B645E2">
        <w:rPr>
          <w:rFonts w:ascii="Calibri" w:hAnsi="Calibri"/>
          <w:bCs/>
        </w:rPr>
        <w:t>8:3</w:t>
      </w:r>
      <w:r>
        <w:rPr>
          <w:rFonts w:ascii="Calibri" w:hAnsi="Calibri"/>
          <w:bCs/>
        </w:rPr>
        <w:t>0 Uhr bis 12:30 Uhr</w:t>
      </w:r>
    </w:p>
    <w:p w:rsidR="00325E8E" w:rsidRDefault="00B645E2" w:rsidP="007E032F">
      <w:pPr>
        <w:ind w:left="426" w:right="566"/>
        <w:jc w:val="both"/>
        <w:rPr>
          <w:rFonts w:ascii="Calibri" w:hAnsi="Calibri"/>
          <w:bCs/>
        </w:rPr>
      </w:pPr>
      <w:r>
        <w:rPr>
          <w:rFonts w:ascii="Calibri" w:hAnsi="Calibri"/>
          <w:bCs/>
        </w:rPr>
        <w:t xml:space="preserve">Montag und Dienstag </w:t>
      </w:r>
      <w:r w:rsidR="00894F7A">
        <w:rPr>
          <w:rFonts w:ascii="Calibri" w:hAnsi="Calibri"/>
          <w:bCs/>
        </w:rPr>
        <w:t xml:space="preserve">auch </w:t>
      </w:r>
      <w:r>
        <w:rPr>
          <w:rFonts w:ascii="Calibri" w:hAnsi="Calibri"/>
          <w:bCs/>
        </w:rPr>
        <w:t>in der Zeit von 14:30</w:t>
      </w:r>
      <w:r w:rsidR="00325E8E">
        <w:rPr>
          <w:rFonts w:ascii="Calibri" w:hAnsi="Calibri"/>
          <w:bCs/>
        </w:rPr>
        <w:t xml:space="preserve"> Uhr bis 16:00 Uhr</w:t>
      </w:r>
    </w:p>
    <w:p w:rsidR="00325E8E" w:rsidRDefault="00B645E2" w:rsidP="007E032F">
      <w:pPr>
        <w:ind w:left="426" w:right="566"/>
        <w:jc w:val="both"/>
        <w:rPr>
          <w:rFonts w:ascii="Calibri" w:hAnsi="Calibri"/>
          <w:bCs/>
        </w:rPr>
      </w:pPr>
      <w:r>
        <w:rPr>
          <w:rFonts w:ascii="Calibri" w:hAnsi="Calibri"/>
          <w:bCs/>
        </w:rPr>
        <w:t>Donnerstag</w:t>
      </w:r>
      <w:r w:rsidR="00894F7A">
        <w:rPr>
          <w:rFonts w:ascii="Calibri" w:hAnsi="Calibri"/>
          <w:bCs/>
        </w:rPr>
        <w:t xml:space="preserve"> auch</w:t>
      </w:r>
      <w:r w:rsidR="00325E8E">
        <w:rPr>
          <w:rFonts w:ascii="Calibri" w:hAnsi="Calibri"/>
          <w:bCs/>
        </w:rPr>
        <w:t xml:space="preserve"> in der Zeit</w:t>
      </w:r>
      <w:r>
        <w:rPr>
          <w:rFonts w:ascii="Calibri" w:hAnsi="Calibri"/>
          <w:bCs/>
        </w:rPr>
        <w:t xml:space="preserve"> von 14:30 Uhr bis 17:3</w:t>
      </w:r>
      <w:r w:rsidR="00325E8E">
        <w:rPr>
          <w:rFonts w:ascii="Calibri" w:hAnsi="Calibri"/>
          <w:bCs/>
        </w:rPr>
        <w:t>0 Uhr</w:t>
      </w:r>
    </w:p>
    <w:p w:rsidR="00325E8E" w:rsidRDefault="00325E8E" w:rsidP="007E032F">
      <w:pPr>
        <w:ind w:right="566"/>
        <w:jc w:val="both"/>
        <w:rPr>
          <w:rFonts w:ascii="Calibri" w:hAnsi="Calibri"/>
          <w:bCs/>
          <w:strike/>
        </w:rPr>
      </w:pPr>
    </w:p>
    <w:p w:rsidR="00325E8E" w:rsidRDefault="00325E8E" w:rsidP="007E032F">
      <w:pPr>
        <w:ind w:right="566"/>
        <w:jc w:val="both"/>
        <w:rPr>
          <w:rFonts w:ascii="Calibri" w:hAnsi="Calibri"/>
          <w:u w:val="single"/>
        </w:rPr>
      </w:pPr>
      <w:r>
        <w:rPr>
          <w:rFonts w:ascii="Calibri" w:hAnsi="Calibri"/>
        </w:rPr>
        <w:t xml:space="preserve">Die zur Einsichtnahme ausliegenden Unterlagen können für die Dauer der Auslegung auch digital im UVP-Portal Niedersachsen unter </w:t>
      </w:r>
      <w:hyperlink r:id="rId7" w:history="1">
        <w:r>
          <w:rPr>
            <w:rStyle w:val="Hyperlink"/>
            <w:rFonts w:ascii="Calibri" w:hAnsi="Calibri"/>
          </w:rPr>
          <w:t>https://uvp.niedersachsen.de/</w:t>
        </w:r>
      </w:hyperlink>
      <w:r>
        <w:rPr>
          <w:rFonts w:ascii="Calibri" w:hAnsi="Calibri"/>
        </w:rPr>
        <w:t xml:space="preserve"> oder über die Internet-Seite des Landkreises Aurich unter </w:t>
      </w:r>
      <w:hyperlink r:id="rId8" w:history="1">
        <w:r>
          <w:rPr>
            <w:rStyle w:val="Hyperlink"/>
            <w:rFonts w:ascii="Calibri" w:hAnsi="Calibri"/>
          </w:rPr>
          <w:t>www.landkreis-aurich.de</w:t>
        </w:r>
      </w:hyperlink>
      <w:r>
        <w:rPr>
          <w:rFonts w:ascii="Calibri" w:hAnsi="Calibri"/>
        </w:rPr>
        <w:t xml:space="preserve"> (Bekanntmachungen&gt; Bekanntmachungen &gt; Windenergie) eingesehen werden.</w:t>
      </w:r>
    </w:p>
    <w:p w:rsidR="00325E8E" w:rsidRDefault="00325E8E" w:rsidP="007E032F">
      <w:pPr>
        <w:ind w:right="566"/>
        <w:rPr>
          <w:rFonts w:ascii="Calibri" w:hAnsi="Calibri"/>
          <w:b/>
        </w:rPr>
      </w:pPr>
    </w:p>
    <w:p w:rsidR="00894F7A" w:rsidRDefault="00894F7A">
      <w:pPr>
        <w:rPr>
          <w:rFonts w:ascii="Calibri" w:hAnsi="Calibri"/>
          <w:b/>
        </w:rPr>
      </w:pPr>
      <w:r>
        <w:rPr>
          <w:rFonts w:ascii="Calibri" w:hAnsi="Calibri"/>
          <w:b/>
        </w:rPr>
        <w:br w:type="page"/>
      </w:r>
    </w:p>
    <w:p w:rsidR="00325E8E" w:rsidRDefault="00325E8E" w:rsidP="007E032F">
      <w:pPr>
        <w:ind w:right="566"/>
        <w:jc w:val="both"/>
        <w:rPr>
          <w:rFonts w:ascii="Calibri" w:hAnsi="Calibri"/>
          <w:b/>
        </w:rPr>
      </w:pPr>
      <w:r>
        <w:rPr>
          <w:rFonts w:ascii="Calibri" w:hAnsi="Calibri"/>
          <w:b/>
        </w:rPr>
        <w:t>V. Hinweise</w:t>
      </w:r>
    </w:p>
    <w:p w:rsidR="00325E8E" w:rsidRDefault="00325E8E" w:rsidP="007E032F">
      <w:pPr>
        <w:ind w:right="566"/>
        <w:jc w:val="both"/>
        <w:rPr>
          <w:rFonts w:ascii="Calibri" w:hAnsi="Calibri"/>
        </w:rPr>
      </w:pPr>
      <w:r>
        <w:rPr>
          <w:rFonts w:ascii="Calibri" w:hAnsi="Calibri"/>
        </w:rPr>
        <w:t>Mit dem Ende der Auslegungsfrist gilt der Genehmigungsbescheid auch gegenüber Dritten, die keine Einwendungen erhoben haben, als zugestellt. Der Bescheid und seine Begründung können bis zum Ablauf der Widerspruchsfrist von den Personen, die Einwendungen erhoben haben, schriftlich oder elektronisch beim Landkreis Aurich, Amt für Bauordnung, Planung und Naturschutz, Fischteichweg 7-13, 26603 Aurich, angefordert werden.</w:t>
      </w:r>
    </w:p>
    <w:p w:rsidR="00325E8E" w:rsidRDefault="00325E8E" w:rsidP="007E032F">
      <w:pPr>
        <w:ind w:right="566"/>
        <w:jc w:val="both"/>
        <w:rPr>
          <w:rFonts w:ascii="Calibri" w:hAnsi="Calibri"/>
        </w:rPr>
      </w:pPr>
    </w:p>
    <w:p w:rsidR="00325E8E" w:rsidRDefault="00E145EC" w:rsidP="007E032F">
      <w:pPr>
        <w:ind w:right="566"/>
        <w:rPr>
          <w:rFonts w:ascii="Calibri" w:hAnsi="Calibri"/>
        </w:rPr>
      </w:pPr>
      <w:r w:rsidRPr="00894F7A">
        <w:rPr>
          <w:rFonts w:ascii="Calibri" w:hAnsi="Calibri"/>
        </w:rPr>
        <w:t xml:space="preserve">Aurich, den </w:t>
      </w:r>
      <w:r w:rsidR="007E032F" w:rsidRPr="00894F7A">
        <w:rPr>
          <w:rFonts w:ascii="Calibri" w:hAnsi="Calibri"/>
        </w:rPr>
        <w:t>19</w:t>
      </w:r>
      <w:r w:rsidRPr="00894F7A">
        <w:rPr>
          <w:rFonts w:ascii="Calibri" w:hAnsi="Calibri"/>
        </w:rPr>
        <w:t>.01.2024</w:t>
      </w:r>
    </w:p>
    <w:p w:rsidR="00325E8E" w:rsidRDefault="00325E8E" w:rsidP="007E032F">
      <w:pPr>
        <w:ind w:right="566"/>
        <w:rPr>
          <w:rFonts w:eastAsia="Arial Unicode MS"/>
          <w:b/>
        </w:rPr>
      </w:pPr>
      <w:r>
        <w:rPr>
          <w:rFonts w:eastAsia="Arial Unicode MS"/>
          <w:b/>
        </w:rPr>
        <w:t>Landkreis Aurich</w:t>
      </w:r>
    </w:p>
    <w:p w:rsidR="00325E8E" w:rsidRPr="007E032F" w:rsidRDefault="00325E8E" w:rsidP="007E032F">
      <w:pPr>
        <w:ind w:right="566"/>
      </w:pPr>
      <w:r w:rsidRPr="007E032F">
        <w:t>Der Landrat</w:t>
      </w:r>
    </w:p>
    <w:p w:rsidR="001C1A23" w:rsidRPr="0072582F" w:rsidRDefault="001C1A23" w:rsidP="007E032F">
      <w:pPr>
        <w:ind w:right="566"/>
      </w:pPr>
    </w:p>
    <w:p w:rsidR="00341746" w:rsidRPr="009C4CE4" w:rsidRDefault="00341746" w:rsidP="007E032F">
      <w:pPr>
        <w:ind w:right="566"/>
        <w:jc w:val="both"/>
      </w:pPr>
    </w:p>
    <w:sectPr w:rsidR="00341746" w:rsidRPr="009C4CE4" w:rsidSect="00406867">
      <w:headerReference w:type="first" r:id="rId9"/>
      <w:type w:val="continuous"/>
      <w:pgSz w:w="11907" w:h="16840" w:code="9"/>
      <w:pgMar w:top="567" w:right="567" w:bottom="567" w:left="1418" w:header="284"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A23" w:rsidRDefault="001C1A23">
      <w:r>
        <w:separator/>
      </w:r>
    </w:p>
  </w:endnote>
  <w:endnote w:type="continuationSeparator" w:id="0">
    <w:p w:rsidR="001C1A23" w:rsidRDefault="001C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gfaRotisSansSerif">
    <w:altName w:val="Courier New"/>
    <w:panose1 w:val="00000000000000000000"/>
    <w:charset w:val="00"/>
    <w:family w:val="swiss"/>
    <w:notTrueType/>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A23" w:rsidRDefault="001C1A23">
      <w:r>
        <w:separator/>
      </w:r>
    </w:p>
  </w:footnote>
  <w:footnote w:type="continuationSeparator" w:id="0">
    <w:p w:rsidR="001C1A23" w:rsidRDefault="001C1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5A3" w:rsidRDefault="009475A3">
    <w:pPr>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853C0"/>
    <w:multiLevelType w:val="hybridMultilevel"/>
    <w:tmpl w:val="57803474"/>
    <w:lvl w:ilvl="0" w:tplc="7730F0EC">
      <w:numFmt w:val="bullet"/>
      <w:lvlText w:val="-"/>
      <w:lvlJc w:val="left"/>
      <w:pPr>
        <w:ind w:left="720" w:hanging="360"/>
      </w:pPr>
      <w:rPr>
        <w:rFonts w:ascii="Calibri" w:eastAsia="Times New Roman"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A23"/>
    <w:rsid w:val="00090AA0"/>
    <w:rsid w:val="00141F36"/>
    <w:rsid w:val="00184C97"/>
    <w:rsid w:val="001C1A23"/>
    <w:rsid w:val="002A263A"/>
    <w:rsid w:val="002C0DD7"/>
    <w:rsid w:val="00325E8E"/>
    <w:rsid w:val="00341746"/>
    <w:rsid w:val="003A38DC"/>
    <w:rsid w:val="003F4843"/>
    <w:rsid w:val="00406867"/>
    <w:rsid w:val="00412DC3"/>
    <w:rsid w:val="00525979"/>
    <w:rsid w:val="00573321"/>
    <w:rsid w:val="00582D04"/>
    <w:rsid w:val="005B0218"/>
    <w:rsid w:val="005C5664"/>
    <w:rsid w:val="005E3337"/>
    <w:rsid w:val="0060050F"/>
    <w:rsid w:val="00615DF6"/>
    <w:rsid w:val="00674D4B"/>
    <w:rsid w:val="00687249"/>
    <w:rsid w:val="007352CD"/>
    <w:rsid w:val="007A2524"/>
    <w:rsid w:val="007E032F"/>
    <w:rsid w:val="00894F7A"/>
    <w:rsid w:val="00927EF2"/>
    <w:rsid w:val="009475A3"/>
    <w:rsid w:val="009C4CE4"/>
    <w:rsid w:val="00A07953"/>
    <w:rsid w:val="00A10898"/>
    <w:rsid w:val="00AA19D4"/>
    <w:rsid w:val="00AD46DD"/>
    <w:rsid w:val="00B55BA4"/>
    <w:rsid w:val="00B645E2"/>
    <w:rsid w:val="00C46121"/>
    <w:rsid w:val="00CD4E75"/>
    <w:rsid w:val="00D35161"/>
    <w:rsid w:val="00D35C63"/>
    <w:rsid w:val="00DE1A08"/>
    <w:rsid w:val="00E145EC"/>
    <w:rsid w:val="00E2255B"/>
    <w:rsid w:val="00E24F70"/>
    <w:rsid w:val="00F413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D6611DB4-FCD8-4816-A245-3535318E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F4843"/>
    <w:rPr>
      <w:rFonts w:asciiTheme="minorHAnsi" w:hAnsiTheme="minorHAnsi"/>
      <w:sz w:val="22"/>
      <w:szCs w:val="22"/>
    </w:rPr>
  </w:style>
  <w:style w:type="paragraph" w:styleId="berschrift1">
    <w:name w:val="heading 1"/>
    <w:basedOn w:val="Standard"/>
    <w:next w:val="Standard"/>
    <w:link w:val="berschrift1Zchn"/>
    <w:qFormat/>
    <w:rsid w:val="003F4843"/>
    <w:pPr>
      <w:keepNext/>
      <w:keepLines/>
      <w:spacing w:before="480"/>
      <w:outlineLvl w:val="0"/>
    </w:pPr>
    <w:rPr>
      <w:rFonts w:ascii="Calibri" w:eastAsiaTheme="majorEastAsia" w:hAnsi="Calibri" w:cstheme="majorBidi"/>
      <w:b/>
      <w:bCs/>
      <w:color w:val="365F91" w:themeColor="accent1" w:themeShade="BF"/>
      <w:sz w:val="28"/>
      <w:szCs w:val="28"/>
    </w:rPr>
  </w:style>
  <w:style w:type="paragraph" w:styleId="berschrift2">
    <w:name w:val="heading 2"/>
    <w:basedOn w:val="Standard"/>
    <w:next w:val="Standard"/>
    <w:qFormat/>
    <w:pPr>
      <w:keepNext/>
      <w:spacing w:before="240" w:after="60"/>
      <w:outlineLvl w:val="1"/>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Formatvorlage1">
    <w:name w:val="Formatvorlage1"/>
    <w:basedOn w:val="Standard"/>
    <w:rsid w:val="009475A3"/>
    <w:pPr>
      <w:spacing w:after="120"/>
      <w:jc w:val="both"/>
    </w:pPr>
    <w:rPr>
      <w:rFonts w:ascii="Calibri" w:hAnsi="Calibri"/>
    </w:rPr>
  </w:style>
  <w:style w:type="character" w:customStyle="1" w:styleId="berschrift1Zchn">
    <w:name w:val="Überschrift 1 Zchn"/>
    <w:basedOn w:val="Absatz-Standardschriftart"/>
    <w:link w:val="berschrift1"/>
    <w:rsid w:val="003F4843"/>
    <w:rPr>
      <w:rFonts w:ascii="Calibri" w:eastAsiaTheme="majorEastAsia" w:hAnsi="Calibri" w:cstheme="majorBidi"/>
      <w:b/>
      <w:bCs/>
      <w:color w:val="365F91" w:themeColor="accent1" w:themeShade="BF"/>
      <w:sz w:val="28"/>
      <w:szCs w:val="28"/>
    </w:rPr>
  </w:style>
  <w:style w:type="paragraph" w:styleId="Sprechblasentext">
    <w:name w:val="Balloon Text"/>
    <w:basedOn w:val="Standard"/>
    <w:link w:val="SprechblasentextZchn"/>
    <w:rsid w:val="0060050F"/>
    <w:rPr>
      <w:rFonts w:ascii="Tahoma" w:hAnsi="Tahoma" w:cs="Tahoma"/>
      <w:sz w:val="16"/>
      <w:szCs w:val="16"/>
    </w:rPr>
  </w:style>
  <w:style w:type="character" w:customStyle="1" w:styleId="SprechblasentextZchn">
    <w:name w:val="Sprechblasentext Zchn"/>
    <w:basedOn w:val="Absatz-Standardschriftart"/>
    <w:link w:val="Sprechblasentext"/>
    <w:rsid w:val="0060050F"/>
    <w:rPr>
      <w:rFonts w:ascii="Tahoma" w:hAnsi="Tahoma" w:cs="Tahoma"/>
      <w:sz w:val="16"/>
      <w:szCs w:val="16"/>
    </w:rPr>
  </w:style>
  <w:style w:type="character" w:styleId="Hyperlink">
    <w:name w:val="Hyperlink"/>
    <w:basedOn w:val="Absatz-Standardschriftart"/>
    <w:uiPriority w:val="99"/>
    <w:semiHidden/>
    <w:unhideWhenUsed/>
    <w:rsid w:val="00325E8E"/>
    <w:rPr>
      <w:color w:val="0000FF" w:themeColor="hyperlink"/>
      <w:u w:val="single"/>
    </w:rPr>
  </w:style>
  <w:style w:type="paragraph" w:styleId="NurText">
    <w:name w:val="Plain Text"/>
    <w:basedOn w:val="Standard"/>
    <w:link w:val="NurTextZchn"/>
    <w:uiPriority w:val="99"/>
    <w:semiHidden/>
    <w:unhideWhenUsed/>
    <w:rsid w:val="00325E8E"/>
    <w:rPr>
      <w:rFonts w:ascii="Calibri" w:eastAsiaTheme="minorHAnsi" w:hAnsi="Calibri" w:cs="Consolas"/>
      <w:szCs w:val="21"/>
      <w:lang w:eastAsia="en-US"/>
    </w:rPr>
  </w:style>
  <w:style w:type="character" w:customStyle="1" w:styleId="NurTextZchn">
    <w:name w:val="Nur Text Zchn"/>
    <w:basedOn w:val="Absatz-Standardschriftart"/>
    <w:link w:val="NurText"/>
    <w:uiPriority w:val="99"/>
    <w:semiHidden/>
    <w:rsid w:val="00325E8E"/>
    <w:rPr>
      <w:rFonts w:ascii="Calibri" w:eastAsiaTheme="minorHAnsi" w:hAnsi="Calibri" w:cs="Consolas"/>
      <w:sz w:val="22"/>
      <w:szCs w:val="21"/>
      <w:lang w:eastAsia="en-US"/>
    </w:rPr>
  </w:style>
  <w:style w:type="paragraph" w:styleId="Listenabsatz">
    <w:name w:val="List Paragraph"/>
    <w:basedOn w:val="Standard"/>
    <w:uiPriority w:val="34"/>
    <w:qFormat/>
    <w:rsid w:val="00325E8E"/>
    <w:pPr>
      <w:ind w:left="720"/>
      <w:contextualSpacing/>
    </w:pPr>
    <w:rPr>
      <w:rFonts w:eastAsia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5699">
      <w:bodyDiv w:val="1"/>
      <w:marLeft w:val="0"/>
      <w:marRight w:val="0"/>
      <w:marTop w:val="0"/>
      <w:marBottom w:val="0"/>
      <w:divBdr>
        <w:top w:val="none" w:sz="0" w:space="0" w:color="auto"/>
        <w:left w:val="none" w:sz="0" w:space="0" w:color="auto"/>
        <w:bottom w:val="none" w:sz="0" w:space="0" w:color="auto"/>
        <w:right w:val="none" w:sz="0" w:space="0" w:color="auto"/>
      </w:divBdr>
    </w:div>
    <w:div w:id="192842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dkreis-aurich.de" TargetMode="External"/><Relationship Id="rId3" Type="http://schemas.openxmlformats.org/officeDocument/2006/relationships/settings" Target="settings.xml"/><Relationship Id="rId7" Type="http://schemas.openxmlformats.org/officeDocument/2006/relationships/hyperlink" Target="https://uvp.niedersachs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4604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Stadt Osnabrück</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Stüven, Tjade</dc:creator>
  <cp:keywords/>
  <dc:description/>
  <cp:lastModifiedBy>Strauch,Christina</cp:lastModifiedBy>
  <cp:revision>2</cp:revision>
  <cp:lastPrinted>2024-01-18T06:32:00Z</cp:lastPrinted>
  <dcterms:created xsi:type="dcterms:W3CDTF">2024-01-18T06:39:00Z</dcterms:created>
  <dcterms:modified xsi:type="dcterms:W3CDTF">2024-01-18T06:39:00Z</dcterms:modified>
</cp:coreProperties>
</file>