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27" w:rsidRDefault="00AB6427" w:rsidP="00B32EDF">
      <w:pPr>
        <w:spacing w:line="360" w:lineRule="auto"/>
        <w:jc w:val="center"/>
        <w:rPr>
          <w:rStyle w:val="Fett"/>
        </w:rPr>
      </w:pPr>
    </w:p>
    <w:p w:rsidR="00B32EDF" w:rsidRDefault="00B32EDF" w:rsidP="00B32EDF">
      <w:pPr>
        <w:spacing w:line="360" w:lineRule="auto"/>
        <w:jc w:val="center"/>
      </w:pPr>
      <w:bookmarkStart w:id="0" w:name="_GoBack"/>
      <w:bookmarkEnd w:id="0"/>
      <w:r>
        <w:rPr>
          <w:rStyle w:val="Fett"/>
        </w:rPr>
        <w:t>Feststellung gemäß § 5 UVPG</w:t>
      </w:r>
      <w:r>
        <w:rPr>
          <w:b/>
          <w:bCs/>
        </w:rPr>
        <w:br/>
      </w:r>
      <w:r>
        <w:rPr>
          <w:rStyle w:val="Fett"/>
        </w:rPr>
        <w:t xml:space="preserve">Bio-Energie Söhlde GmbH &amp; Co. KG Söhlde </w:t>
      </w:r>
      <w:r>
        <w:rPr>
          <w:b/>
          <w:bCs/>
        </w:rPr>
        <w:br/>
      </w:r>
      <w:r>
        <w:rPr>
          <w:b/>
          <w:bCs/>
        </w:rPr>
        <w:br/>
      </w:r>
      <w:r w:rsidR="008C0AD8">
        <w:rPr>
          <w:rStyle w:val="Fett"/>
        </w:rPr>
        <w:t>GAA v. 23</w:t>
      </w:r>
      <w:r>
        <w:rPr>
          <w:rStyle w:val="Fett"/>
        </w:rPr>
        <w:t>.</w:t>
      </w:r>
      <w:r w:rsidR="008C0AD8">
        <w:rPr>
          <w:rStyle w:val="Fett"/>
        </w:rPr>
        <w:t>06</w:t>
      </w:r>
      <w:r>
        <w:rPr>
          <w:rStyle w:val="Fett"/>
        </w:rPr>
        <w:t>.2021 ― HI 21-029-01 ―</w:t>
      </w:r>
    </w:p>
    <w:p w:rsidR="00B32EDF" w:rsidRDefault="00B32EDF" w:rsidP="00B32EDF">
      <w:pPr>
        <w:spacing w:after="240"/>
      </w:pPr>
    </w:p>
    <w:p w:rsidR="00B32EDF" w:rsidRDefault="00B32EDF" w:rsidP="00B32EDF">
      <w:pPr>
        <w:spacing w:after="0" w:line="360" w:lineRule="auto"/>
      </w:pPr>
      <w:r>
        <w:t xml:space="preserve">Die Firma Bio-Energie Söhlde GmbH &amp; Co. KG, 31185 Söhlde, Barbecker Str., hat mit Schreiben vom 20.03.2021 die Erteilung einer Genehmigung gemäß </w:t>
      </w:r>
      <w:r w:rsidR="00606B6B">
        <w:t xml:space="preserve">den </w:t>
      </w:r>
      <w:r>
        <w:t xml:space="preserve">§§ 16 </w:t>
      </w:r>
      <w:r w:rsidR="00606B6B">
        <w:t>und</w:t>
      </w:r>
      <w:r>
        <w:t xml:space="preserve"> 19 BImSchG für die wesentliche Änderung einer Biogasanlage</w:t>
      </w:r>
      <w:r w:rsidR="00606B6B">
        <w:t xml:space="preserve"> mit</w:t>
      </w:r>
      <w:r>
        <w:t xml:space="preserve"> 54 t/d Produktionskapazität am Standort in 31185 Söhlde, Barbecker Str. Gemarkung Söhlde, Flur 6, Flurstück(e) 93/8, 95/2 beantragt.</w:t>
      </w:r>
    </w:p>
    <w:p w:rsidR="00B32EDF" w:rsidRDefault="00B32EDF" w:rsidP="00B32EDF">
      <w:pPr>
        <w:spacing w:after="240"/>
      </w:pPr>
    </w:p>
    <w:p w:rsidR="00B32EDF" w:rsidRDefault="00B32EDF" w:rsidP="00606B6B">
      <w:pPr>
        <w:spacing w:after="0"/>
      </w:pPr>
      <w:r>
        <w:t>Gegenstand der wesentlichen Änderung ist:</w:t>
      </w:r>
    </w:p>
    <w:p w:rsidR="00606B6B" w:rsidRDefault="00606B6B" w:rsidP="00606B6B">
      <w:pPr>
        <w:spacing w:after="0"/>
      </w:pPr>
    </w:p>
    <w:p w:rsidR="00606B6B" w:rsidRDefault="00606B6B" w:rsidP="00606B6B">
      <w:pPr>
        <w:spacing w:after="0"/>
      </w:pPr>
    </w:p>
    <w:p w:rsidR="00606B6B" w:rsidRDefault="00606B6B" w:rsidP="00606B6B">
      <w:pPr>
        <w:numPr>
          <w:ilvl w:val="0"/>
          <w:numId w:val="34"/>
        </w:numPr>
        <w:tabs>
          <w:tab w:val="clear" w:pos="720"/>
        </w:tabs>
        <w:ind w:left="567" w:hanging="567"/>
      </w:pPr>
      <w:r>
        <w:t>Umnutzung des Nachgärers zum Gärrestlager 2</w:t>
      </w:r>
    </w:p>
    <w:p w:rsidR="00606B6B" w:rsidRDefault="00606B6B" w:rsidP="00606B6B">
      <w:pPr>
        <w:numPr>
          <w:ilvl w:val="0"/>
          <w:numId w:val="34"/>
        </w:numPr>
        <w:tabs>
          <w:tab w:val="clear" w:pos="720"/>
        </w:tabs>
        <w:ind w:left="567" w:hanging="567"/>
      </w:pPr>
      <w:r>
        <w:t xml:space="preserve">Errichtung und Betrieb einer mobilen Separation für Gärreste </w:t>
      </w:r>
    </w:p>
    <w:p w:rsidR="00606B6B" w:rsidRDefault="00606B6B" w:rsidP="00606B6B">
      <w:pPr>
        <w:numPr>
          <w:ilvl w:val="0"/>
          <w:numId w:val="34"/>
        </w:numPr>
        <w:tabs>
          <w:tab w:val="clear" w:pos="720"/>
        </w:tabs>
        <w:ind w:left="567" w:hanging="567"/>
      </w:pPr>
      <w:r>
        <w:t>Zusätzliche Lagerfläche für den separierten Gärrest im vorhandenen Fahrsilo 2</w:t>
      </w:r>
    </w:p>
    <w:p w:rsidR="00606B6B" w:rsidRDefault="00606B6B" w:rsidP="00606B6B">
      <w:pPr>
        <w:numPr>
          <w:ilvl w:val="0"/>
          <w:numId w:val="34"/>
        </w:numPr>
        <w:tabs>
          <w:tab w:val="clear" w:pos="720"/>
        </w:tabs>
        <w:ind w:left="567" w:hanging="567"/>
      </w:pPr>
      <w:r>
        <w:t>Erhöhung der Lagermenge von Biogas auf 5,59 t bei Nr. 9.1.1.2 V</w:t>
      </w:r>
    </w:p>
    <w:p w:rsidR="00606B6B" w:rsidRDefault="00606B6B" w:rsidP="00606B6B">
      <w:pPr>
        <w:numPr>
          <w:ilvl w:val="0"/>
          <w:numId w:val="34"/>
        </w:numPr>
        <w:tabs>
          <w:tab w:val="clear" w:pos="720"/>
        </w:tabs>
        <w:ind w:left="567" w:hanging="567"/>
      </w:pPr>
      <w:r>
        <w:t>Erhöhung der Lagermenge von Gärrest auf 15.820 m³</w:t>
      </w:r>
    </w:p>
    <w:p w:rsidR="00606B6B" w:rsidRDefault="00606B6B" w:rsidP="00606B6B">
      <w:pPr>
        <w:numPr>
          <w:ilvl w:val="0"/>
          <w:numId w:val="34"/>
        </w:numPr>
        <w:tabs>
          <w:tab w:val="clear" w:pos="720"/>
        </w:tabs>
        <w:ind w:left="567" w:hanging="567"/>
      </w:pPr>
      <w:r>
        <w:t>Erhöhung der störfallrelevanten Biogasmenge auf 22.249 kg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402"/>
        <w:gridCol w:w="8315"/>
      </w:tblGrid>
      <w:tr w:rsidR="00B32EDF" w:rsidTr="00606B6B">
        <w:trPr>
          <w:tblCellSpacing w:w="15" w:type="dxa"/>
        </w:trPr>
        <w:tc>
          <w:tcPr>
            <w:tcW w:w="346" w:type="pct"/>
            <w:vAlign w:val="center"/>
          </w:tcPr>
          <w:p w:rsidR="00B32EDF" w:rsidRDefault="00B32EDF" w:rsidP="00396435"/>
        </w:tc>
        <w:tc>
          <w:tcPr>
            <w:tcW w:w="197" w:type="pct"/>
          </w:tcPr>
          <w:p w:rsidR="00B32EDF" w:rsidRDefault="00B32EDF" w:rsidP="004A65B9">
            <w:pPr>
              <w:rPr>
                <w:rFonts w:eastAsiaTheme="minorEastAsia"/>
              </w:rPr>
            </w:pPr>
          </w:p>
        </w:tc>
        <w:tc>
          <w:tcPr>
            <w:tcW w:w="4394" w:type="pct"/>
            <w:vAlign w:val="center"/>
          </w:tcPr>
          <w:p w:rsidR="00B32EDF" w:rsidRDefault="00B32EDF" w:rsidP="00396435"/>
        </w:tc>
      </w:tr>
      <w:tr w:rsidR="00B32EDF" w:rsidTr="00606B6B">
        <w:trPr>
          <w:tblCellSpacing w:w="15" w:type="dxa"/>
        </w:trPr>
        <w:tc>
          <w:tcPr>
            <w:tcW w:w="0" w:type="auto"/>
            <w:vAlign w:val="center"/>
          </w:tcPr>
          <w:p w:rsidR="00B32EDF" w:rsidRDefault="00B32EDF" w:rsidP="00396435"/>
        </w:tc>
        <w:tc>
          <w:tcPr>
            <w:tcW w:w="0" w:type="auto"/>
          </w:tcPr>
          <w:p w:rsidR="00B32EDF" w:rsidRDefault="00B32EDF" w:rsidP="004A65B9">
            <w:pPr>
              <w:rPr>
                <w:rFonts w:eastAsiaTheme="minorEastAsia"/>
              </w:rPr>
            </w:pPr>
          </w:p>
        </w:tc>
        <w:tc>
          <w:tcPr>
            <w:tcW w:w="0" w:type="auto"/>
            <w:vAlign w:val="center"/>
          </w:tcPr>
          <w:p w:rsidR="00B32EDF" w:rsidRDefault="00B32EDF" w:rsidP="00396435"/>
        </w:tc>
      </w:tr>
    </w:tbl>
    <w:p w:rsidR="00606B6B" w:rsidRDefault="00606B6B" w:rsidP="00606B6B">
      <w:pPr>
        <w:spacing w:after="0" w:line="360" w:lineRule="auto"/>
      </w:pPr>
      <w:r>
        <w:t>Im Rahmen dieses Genehmigungsverfahrens ist gemäß § 9 Abs. 2</w:t>
      </w:r>
      <w:r>
        <w:rPr>
          <w:color w:val="FF0066"/>
        </w:rPr>
        <w:t xml:space="preserve"> </w:t>
      </w:r>
      <w:r>
        <w:t>UVPG i. V. m. Nr. 8.4.2.2 –</w:t>
      </w:r>
    </w:p>
    <w:p w:rsidR="00606B6B" w:rsidRDefault="00606B6B" w:rsidP="00606B6B">
      <w:pPr>
        <w:spacing w:after="0" w:line="360" w:lineRule="auto"/>
      </w:pPr>
      <w:r>
        <w:t xml:space="preserve">Errichtung und Betrieb einer Anlage zur biologischen Behandlung von Gülle, soweit die Behandlung ausschließlich durch anaerobe Vergärung (Biogaserzeugung) erfolgt, mit einer Durchsatzkapazität von weniger als 50 t je Tag, soweit die Produktionskapazität von Rohgas 1,2 Mio. Normkubikmeter je Jahr oder mehr beträgt - </w:t>
      </w:r>
      <w:r>
        <w:br/>
        <w:t xml:space="preserve">der Anlage 1 UVPG durch eine Vorprüfung des Einzelfalls zu ermitteln, ob für das beantragte Vorhaben eine Pflicht zur Durchführung einer Umweltverträglichkeitsprüfung (UVP-Pflicht) besteht. </w:t>
      </w:r>
    </w:p>
    <w:p w:rsidR="00606B6B" w:rsidRDefault="00606B6B" w:rsidP="00B32EDF">
      <w:pPr>
        <w:spacing w:after="240"/>
      </w:pPr>
    </w:p>
    <w:p w:rsidR="00B32EDF" w:rsidRDefault="00B32EDF" w:rsidP="00B32EDF">
      <w:pPr>
        <w:spacing w:after="0" w:line="360" w:lineRule="auto"/>
      </w:pPr>
      <w:r>
        <w:t xml:space="preserve">Die Vorprüfung hat ergeben, dass für das Vorhaben eine UVP_Pflicht nicht besteht. </w:t>
      </w:r>
    </w:p>
    <w:p w:rsidR="00B32EDF" w:rsidRDefault="00B32EDF" w:rsidP="00B32EDF">
      <w:pPr>
        <w:spacing w:after="240"/>
      </w:pPr>
    </w:p>
    <w:p w:rsidR="00606B6B" w:rsidRDefault="00606B6B" w:rsidP="00B32EDF">
      <w:pPr>
        <w:spacing w:after="240"/>
      </w:pPr>
    </w:p>
    <w:p w:rsidR="00B32EDF" w:rsidRDefault="00B32EDF" w:rsidP="00B32EDF">
      <w:pPr>
        <w:spacing w:after="0"/>
        <w:ind w:firstLine="367"/>
        <w:rPr>
          <w:rStyle w:val="Fett"/>
        </w:rPr>
      </w:pPr>
      <w:r>
        <w:rPr>
          <w:rStyle w:val="Fett"/>
        </w:rPr>
        <w:lastRenderedPageBreak/>
        <w:t>Begründung:</w:t>
      </w:r>
    </w:p>
    <w:p w:rsidR="008C0AD8" w:rsidRDefault="008C0AD8" w:rsidP="00B32EDF">
      <w:pPr>
        <w:spacing w:after="0"/>
        <w:ind w:firstLine="367"/>
      </w:pPr>
    </w:p>
    <w:p w:rsidR="00606B6B" w:rsidRDefault="00606B6B" w:rsidP="00606B6B">
      <w:pPr>
        <w:spacing w:after="240"/>
      </w:pPr>
      <w:r>
        <w:t>Besondere örtliche Gegebenheiten gemäß den Schutzkriterien der Anlage 3 UVPG liegen nicht vor.</w:t>
      </w:r>
      <w:r>
        <w:br/>
        <w:t>Die Vorprüfung des Einzelfalls durch die Genehmigungsbehörde hat ergeben, dass eine Umweltverträglichkeitsprüfung nicht erforderlich ist, weil keine besonders schutzwürdigen Gebiete erheblich nachteilig betroffen sind.</w:t>
      </w:r>
    </w:p>
    <w:p w:rsidR="00606B6B" w:rsidRDefault="00606B6B" w:rsidP="00606B6B">
      <w:pPr>
        <w:spacing w:after="240"/>
      </w:pPr>
      <w:r>
        <w:t>Das beantragte Vorhaben wird entsprechend den einschlägigen Vorschriften und dem Stand der Technik errichtet und betrieben.</w:t>
      </w:r>
    </w:p>
    <w:p w:rsidR="00405180" w:rsidRPr="0092571B" w:rsidRDefault="00B32EDF" w:rsidP="0092571B">
      <w:r>
        <w:t xml:space="preserve">Diese Feststellung wird hiermit der Öffentlichkeit bekannt gegeben. Sie ist nicht selbständig anfechtbar. </w:t>
      </w:r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DF" w:rsidRDefault="00B32EDF">
      <w:r>
        <w:separator/>
      </w:r>
    </w:p>
  </w:endnote>
  <w:endnote w:type="continuationSeparator" w:id="0">
    <w:p w:rsidR="00B32EDF" w:rsidRDefault="00B3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AB6427">
      <w:rPr>
        <w:noProof/>
      </w:rPr>
      <w:t>2</w:t>
    </w:r>
    <w:r>
      <w:fldChar w:fldCharType="end"/>
    </w:r>
    <w:r>
      <w:t xml:space="preserve"> von </w:t>
    </w:r>
    <w:fldSimple w:instr=" NUMPAGES ">
      <w:r w:rsidR="00AB6427">
        <w:rPr>
          <w:noProof/>
        </w:rPr>
        <w:t>2</w:t>
      </w:r>
    </w:fldSimple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DF" w:rsidRDefault="00B32EDF">
      <w:r>
        <w:separator/>
      </w:r>
    </w:p>
  </w:footnote>
  <w:footnote w:type="continuationSeparator" w:id="0">
    <w:p w:rsidR="00B32EDF" w:rsidRDefault="00B3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6B3F7B"/>
    <w:multiLevelType w:val="multilevel"/>
    <w:tmpl w:val="1186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13"/>
  </w:num>
  <w:num w:numId="7">
    <w:abstractNumId w:val="12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8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1"/>
  </w:num>
  <w:num w:numId="23">
    <w:abstractNumId w:val="13"/>
  </w:num>
  <w:num w:numId="24">
    <w:abstractNumId w:val="6"/>
  </w:num>
  <w:num w:numId="25">
    <w:abstractNumId w:val="2"/>
  </w:num>
  <w:num w:numId="26">
    <w:abstractNumId w:val="6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DF"/>
    <w:rsid w:val="000231B7"/>
    <w:rsid w:val="00065AB1"/>
    <w:rsid w:val="00070855"/>
    <w:rsid w:val="00095E65"/>
    <w:rsid w:val="000A2947"/>
    <w:rsid w:val="000C5FD3"/>
    <w:rsid w:val="000D11C1"/>
    <w:rsid w:val="000E4809"/>
    <w:rsid w:val="00124DED"/>
    <w:rsid w:val="00134EEE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3463A"/>
    <w:rsid w:val="00347EB0"/>
    <w:rsid w:val="00371B8C"/>
    <w:rsid w:val="00377BEC"/>
    <w:rsid w:val="00384813"/>
    <w:rsid w:val="0039105C"/>
    <w:rsid w:val="00393AA2"/>
    <w:rsid w:val="003A26F6"/>
    <w:rsid w:val="003A39D3"/>
    <w:rsid w:val="003B14BB"/>
    <w:rsid w:val="003D4A3A"/>
    <w:rsid w:val="00405180"/>
    <w:rsid w:val="004261BD"/>
    <w:rsid w:val="00426764"/>
    <w:rsid w:val="00427487"/>
    <w:rsid w:val="00447A13"/>
    <w:rsid w:val="00447C49"/>
    <w:rsid w:val="00456060"/>
    <w:rsid w:val="00465539"/>
    <w:rsid w:val="004660A7"/>
    <w:rsid w:val="00475B10"/>
    <w:rsid w:val="0048493A"/>
    <w:rsid w:val="004A18C1"/>
    <w:rsid w:val="004A65B9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BA4"/>
    <w:rsid w:val="005A24BC"/>
    <w:rsid w:val="005B6619"/>
    <w:rsid w:val="005C3C4A"/>
    <w:rsid w:val="005C5E72"/>
    <w:rsid w:val="005D2171"/>
    <w:rsid w:val="005D2AF8"/>
    <w:rsid w:val="005F0AAB"/>
    <w:rsid w:val="00606B6B"/>
    <w:rsid w:val="00613F0D"/>
    <w:rsid w:val="0061442F"/>
    <w:rsid w:val="00657988"/>
    <w:rsid w:val="006626D0"/>
    <w:rsid w:val="006630C5"/>
    <w:rsid w:val="006649BB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96F95"/>
    <w:rsid w:val="00897AF3"/>
    <w:rsid w:val="008B0AD4"/>
    <w:rsid w:val="008C0AD8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B6427"/>
    <w:rsid w:val="00AE19F0"/>
    <w:rsid w:val="00AF4797"/>
    <w:rsid w:val="00B011E3"/>
    <w:rsid w:val="00B268A9"/>
    <w:rsid w:val="00B32EDF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940FC"/>
    <w:rsid w:val="00ED2A57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68AA1B"/>
  <w15:docId w15:val="{EC1ED267-FFE1-4EAF-9A74-EC8801AF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B32EDF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32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810F-AB5A-4A79-B85F-4324BB8F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2109</CharactersWithSpaces>
  <SharedDoc>false</SharedDoc>
  <HyperlinkBase>file://T:\bimschgg\HI000007575\BImSchGG\5070029_2021-HI\Entscheidung\202105\5070029_2021-HI-13.DOCX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Temme, Markus</dc:creator>
  <cp:keywords/>
  <dc:description/>
  <cp:lastModifiedBy>Temme, Markus</cp:lastModifiedBy>
  <cp:revision>2</cp:revision>
  <cp:lastPrinted>2011-11-21T16:37:00Z</cp:lastPrinted>
  <dcterms:created xsi:type="dcterms:W3CDTF">2021-06-28T10:14:00Z</dcterms:created>
  <dcterms:modified xsi:type="dcterms:W3CDTF">2021-06-28T10:14:00Z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