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16308B">
        <w:rPr>
          <w:rFonts w:ascii="Arial" w:eastAsia="Times New Roman" w:hAnsi="Arial" w:cs="Arial"/>
          <w:b/>
          <w:sz w:val="28"/>
          <w:szCs w:val="28"/>
          <w:lang w:eastAsia="de-DE"/>
        </w:rPr>
        <w:t>Vorprüfung</w:t>
      </w:r>
    </w:p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b/>
          <w:lang w:eastAsia="de-DE"/>
        </w:rPr>
      </w:pPr>
      <w:r w:rsidRPr="0016308B">
        <w:rPr>
          <w:rFonts w:ascii="Arial" w:eastAsia="Times New Roman" w:hAnsi="Arial" w:cs="Arial"/>
          <w:b/>
          <w:lang w:eastAsia="de-DE"/>
        </w:rPr>
        <w:t>der Umweltverträglichkeit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16308B">
        <w:rPr>
          <w:rFonts w:ascii="Arial" w:eastAsia="Times New Roman" w:hAnsi="Arial" w:cs="Arial"/>
          <w:szCs w:val="20"/>
          <w:lang w:eastAsia="de-DE"/>
        </w:rPr>
        <w:t xml:space="preserve">Bei folgendem Bauvorhaben wurde die Notwendigkeit einer Umweltverträglichkeitsprüfung (UVP) gem. § 9 Abs. 2 Nr. </w:t>
      </w:r>
      <w:r w:rsidRPr="0016308B">
        <w:rPr>
          <w:rFonts w:ascii="Arial" w:eastAsia="Times New Roman" w:hAnsi="Arial" w:cs="Arial"/>
          <w:szCs w:val="20"/>
          <w:lang w:eastAsia="de-DE"/>
        </w:rPr>
        <w:t>2 nach</w:t>
      </w:r>
      <w:r w:rsidRPr="0016308B">
        <w:rPr>
          <w:rFonts w:ascii="Arial" w:eastAsia="Times New Roman" w:hAnsi="Arial" w:cs="Arial"/>
          <w:szCs w:val="20"/>
          <w:lang w:eastAsia="de-DE"/>
        </w:rPr>
        <w:t xml:space="preserve"> dem Gesetz über die Umweltverträglichkeitsprüfung (UVPG) in der Neufassung vom 24.02.2010 (BGBl. I S. 94) zuletzt geändert durch Art. 2 G vom 08.09.2017 (BGBl. I S. 3370) geprüft.</w:t>
      </w:r>
    </w:p>
    <w:p w:rsidR="0016308B" w:rsidRPr="0016308B" w:rsidRDefault="0016308B" w:rsidP="0016308B">
      <w:pPr>
        <w:tabs>
          <w:tab w:val="left" w:pos="226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E7861" w:rsidRPr="00EE7861" w:rsidRDefault="00EE7861" w:rsidP="00EE78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861">
        <w:rPr>
          <w:rFonts w:ascii="Arial" w:eastAsia="Times New Roman" w:hAnsi="Arial" w:cs="Arial"/>
          <w:szCs w:val="20"/>
          <w:lang w:eastAsia="de-DE"/>
        </w:rPr>
        <w:t>Aktenzeichen:   11-nor-04490-20</w:t>
      </w:r>
    </w:p>
    <w:p w:rsidR="00EE7861" w:rsidRPr="00EE7861" w:rsidRDefault="00EE7861" w:rsidP="00EE7861">
      <w:pP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>Antragsteller:</w:t>
      </w:r>
      <w:r>
        <w:rPr>
          <w:rFonts w:ascii="Arial" w:eastAsia="Times New Roman" w:hAnsi="Arial" w:cs="Arial"/>
          <w:szCs w:val="20"/>
          <w:lang w:eastAsia="de-DE"/>
        </w:rPr>
        <w:tab/>
        <w:t xml:space="preserve">   </w:t>
      </w:r>
      <w:r w:rsidRPr="00EE7861">
        <w:rPr>
          <w:rFonts w:ascii="Arial" w:eastAsia="Times New Roman" w:hAnsi="Arial" w:cs="Arial"/>
          <w:szCs w:val="20"/>
          <w:lang w:eastAsia="de-DE"/>
        </w:rPr>
        <w:t xml:space="preserve">Richard  Meyer zu </w:t>
      </w:r>
      <w:proofErr w:type="spellStart"/>
      <w:r w:rsidRPr="00EE7861">
        <w:rPr>
          <w:rFonts w:ascii="Arial" w:eastAsia="Times New Roman" w:hAnsi="Arial" w:cs="Arial"/>
          <w:szCs w:val="20"/>
          <w:lang w:eastAsia="de-DE"/>
        </w:rPr>
        <w:t>Farwick</w:t>
      </w:r>
      <w:proofErr w:type="spellEnd"/>
    </w:p>
    <w:p w:rsidR="00EE7861" w:rsidRPr="00EE7861" w:rsidRDefault="00EE7861" w:rsidP="00EE7861">
      <w:pP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861">
        <w:rPr>
          <w:rFonts w:ascii="Arial" w:eastAsia="Times New Roman" w:hAnsi="Arial" w:cs="Arial"/>
          <w:szCs w:val="20"/>
          <w:lang w:eastAsia="de-DE"/>
        </w:rPr>
        <w:t>Baugrundstück:</w:t>
      </w:r>
      <w:r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EE7861">
        <w:rPr>
          <w:rFonts w:ascii="Arial" w:eastAsia="Times New Roman" w:hAnsi="Arial" w:cs="Arial"/>
          <w:szCs w:val="20"/>
          <w:lang w:eastAsia="de-DE"/>
        </w:rPr>
        <w:t>Nortrup</w:t>
      </w:r>
      <w:proofErr w:type="spellEnd"/>
      <w:r w:rsidRPr="00EE7861">
        <w:rPr>
          <w:rFonts w:ascii="Arial" w:eastAsia="Times New Roman" w:hAnsi="Arial" w:cs="Arial"/>
          <w:szCs w:val="20"/>
          <w:lang w:eastAsia="de-DE"/>
        </w:rPr>
        <w:t>, Mühlenweg 6</w:t>
      </w:r>
    </w:p>
    <w:p w:rsidR="00EE7861" w:rsidRPr="00EE7861" w:rsidRDefault="00EE7861" w:rsidP="00EE7861">
      <w:pP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861">
        <w:rPr>
          <w:rFonts w:ascii="Arial" w:eastAsia="Times New Roman" w:hAnsi="Arial" w:cs="Arial"/>
          <w:szCs w:val="20"/>
          <w:lang w:eastAsia="de-DE"/>
        </w:rPr>
        <w:t>Gemarkung:</w:t>
      </w:r>
      <w:r w:rsidRPr="00EE7861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 xml:space="preserve">   </w:t>
      </w:r>
      <w:proofErr w:type="spellStart"/>
      <w:r w:rsidRPr="00EE7861">
        <w:rPr>
          <w:rFonts w:ascii="Arial" w:eastAsia="Times New Roman" w:hAnsi="Arial" w:cs="Arial"/>
          <w:szCs w:val="20"/>
          <w:lang w:eastAsia="de-DE"/>
        </w:rPr>
        <w:t>Nortrup</w:t>
      </w:r>
      <w:proofErr w:type="spellEnd"/>
    </w:p>
    <w:p w:rsidR="00EE7861" w:rsidRPr="00EE7861" w:rsidRDefault="00EE7861" w:rsidP="00EE7861">
      <w:pPr>
        <w:tabs>
          <w:tab w:val="left" w:pos="1418"/>
          <w:tab w:val="left" w:pos="2694"/>
          <w:tab w:val="left" w:pos="3969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861">
        <w:rPr>
          <w:rFonts w:ascii="Arial" w:eastAsia="Times New Roman" w:hAnsi="Arial" w:cs="Arial"/>
          <w:szCs w:val="20"/>
          <w:lang w:eastAsia="de-DE"/>
        </w:rPr>
        <w:t xml:space="preserve">Flur: </w:t>
      </w:r>
      <w:r w:rsidRPr="00EE7861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 xml:space="preserve">   </w:t>
      </w:r>
      <w:r w:rsidRPr="00EE7861">
        <w:rPr>
          <w:rFonts w:ascii="Arial" w:eastAsia="Times New Roman" w:hAnsi="Arial" w:cs="Arial"/>
          <w:szCs w:val="20"/>
          <w:lang w:eastAsia="de-DE"/>
        </w:rPr>
        <w:t>12</w:t>
      </w:r>
      <w:r w:rsidRPr="00EE7861">
        <w:rPr>
          <w:rFonts w:ascii="Arial" w:eastAsia="Times New Roman" w:hAnsi="Arial" w:cs="Arial"/>
          <w:szCs w:val="20"/>
          <w:lang w:eastAsia="de-DE"/>
        </w:rPr>
        <w:tab/>
        <w:t>12</w:t>
      </w:r>
      <w:r w:rsidRPr="00EE7861">
        <w:rPr>
          <w:rFonts w:ascii="Arial" w:eastAsia="Times New Roman" w:hAnsi="Arial" w:cs="Arial"/>
          <w:szCs w:val="20"/>
          <w:lang w:eastAsia="de-DE"/>
        </w:rPr>
        <w:tab/>
      </w:r>
    </w:p>
    <w:p w:rsidR="00EE7861" w:rsidRPr="00EE7861" w:rsidRDefault="00EE7861" w:rsidP="00EE7861">
      <w:pPr>
        <w:tabs>
          <w:tab w:val="left" w:pos="1418"/>
          <w:tab w:val="left" w:pos="2694"/>
          <w:tab w:val="left" w:pos="3969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861">
        <w:rPr>
          <w:rFonts w:ascii="Arial" w:eastAsia="Times New Roman" w:hAnsi="Arial" w:cs="Arial"/>
          <w:szCs w:val="20"/>
          <w:lang w:eastAsia="de-DE"/>
        </w:rPr>
        <w:t>Flurstück(e):</w:t>
      </w:r>
      <w:r w:rsidRPr="00EE7861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 xml:space="preserve">   </w:t>
      </w:r>
      <w:r w:rsidRPr="00EE7861">
        <w:rPr>
          <w:rFonts w:ascii="Arial" w:eastAsia="Times New Roman" w:hAnsi="Arial" w:cs="Arial"/>
          <w:szCs w:val="20"/>
          <w:lang w:eastAsia="de-DE"/>
        </w:rPr>
        <w:t>324/1</w:t>
      </w:r>
      <w:r w:rsidRPr="00EE7861">
        <w:rPr>
          <w:rFonts w:ascii="Arial" w:eastAsia="Times New Roman" w:hAnsi="Arial" w:cs="Arial"/>
          <w:szCs w:val="20"/>
          <w:lang w:eastAsia="de-DE"/>
        </w:rPr>
        <w:tab/>
        <w:t>323/1 (teilweise)</w:t>
      </w:r>
      <w:r w:rsidRPr="00EE7861">
        <w:rPr>
          <w:rFonts w:ascii="Arial" w:eastAsia="Times New Roman" w:hAnsi="Arial" w:cs="Arial"/>
          <w:szCs w:val="20"/>
          <w:lang w:eastAsia="de-DE"/>
        </w:rPr>
        <w:tab/>
      </w:r>
    </w:p>
    <w:p w:rsidR="00EE7861" w:rsidRPr="00EE7861" w:rsidRDefault="00EE7861" w:rsidP="00EE7861">
      <w:pP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:rsidR="00EE7861" w:rsidRPr="00EE7861" w:rsidRDefault="00EE7861" w:rsidP="00EE7861">
      <w:pP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861">
        <w:rPr>
          <w:rFonts w:ascii="Arial" w:eastAsia="Times New Roman" w:hAnsi="Arial" w:cs="Arial"/>
          <w:szCs w:val="20"/>
          <w:lang w:eastAsia="de-DE"/>
        </w:rPr>
        <w:t>Anzeige nach § 15 Bundes-Immissionsschutzgesetz (BImSchG)</w:t>
      </w:r>
    </w:p>
    <w:p w:rsidR="00EE7861" w:rsidRPr="00EE7861" w:rsidRDefault="00EE7861" w:rsidP="00EE7861">
      <w:pP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861">
        <w:rPr>
          <w:rFonts w:ascii="Arial" w:eastAsia="Times New Roman" w:hAnsi="Arial" w:cs="Arial"/>
          <w:szCs w:val="20"/>
          <w:lang w:eastAsia="de-DE"/>
        </w:rPr>
        <w:t>Standortänderung des Güllehochbehälters mit Zeltdachabdeckung</w:t>
      </w:r>
    </w:p>
    <w:p w:rsidR="00EE7861" w:rsidRPr="00EE7861" w:rsidRDefault="00EE7861" w:rsidP="00EE7861">
      <w:pP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861">
        <w:rPr>
          <w:rFonts w:ascii="Arial" w:eastAsia="Times New Roman" w:hAnsi="Arial" w:cs="Arial"/>
          <w:szCs w:val="20"/>
          <w:lang w:eastAsia="de-DE"/>
        </w:rPr>
        <w:t>(Aktenzeichen: 2973-18)</w:t>
      </w:r>
    </w:p>
    <w:p w:rsidR="0016308B" w:rsidRPr="0016308B" w:rsidRDefault="0016308B" w:rsidP="0016308B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:rsidR="0016308B" w:rsidRPr="0016308B" w:rsidRDefault="0016308B" w:rsidP="0016308B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szCs w:val="20"/>
          <w:lang w:eastAsia="de-DE"/>
        </w:rPr>
        <w:t xml:space="preserve">Geplant ist </w:t>
      </w:r>
      <w:r w:rsidR="00EE7861" w:rsidRPr="00EE7861">
        <w:rPr>
          <w:rFonts w:ascii="Arial" w:eastAsia="Times New Roman" w:hAnsi="Arial" w:cs="Arial"/>
          <w:lang w:eastAsia="de-DE"/>
        </w:rPr>
        <w:t xml:space="preserve">die Standortverschiebung des Güllehochbehälters mit Zeltdachabdeckung in </w:t>
      </w:r>
      <w:proofErr w:type="spellStart"/>
      <w:r w:rsidR="00EE7861" w:rsidRPr="00EE7861">
        <w:rPr>
          <w:rFonts w:ascii="Arial" w:eastAsia="Times New Roman" w:hAnsi="Arial" w:cs="Arial"/>
          <w:lang w:eastAsia="de-DE"/>
        </w:rPr>
        <w:t>Nortrup</w:t>
      </w:r>
      <w:proofErr w:type="spellEnd"/>
      <w:r w:rsidR="00EE7861" w:rsidRPr="00EE7861">
        <w:rPr>
          <w:rFonts w:ascii="Arial" w:eastAsia="Times New Roman" w:hAnsi="Arial" w:cs="Arial"/>
          <w:lang w:eastAsia="de-DE"/>
        </w:rPr>
        <w:t xml:space="preserve">, Gemarkung </w:t>
      </w:r>
      <w:proofErr w:type="spellStart"/>
      <w:r w:rsidR="00EE7861" w:rsidRPr="00EE7861">
        <w:rPr>
          <w:rFonts w:ascii="Arial" w:eastAsia="Times New Roman" w:hAnsi="Arial" w:cs="Arial"/>
          <w:lang w:eastAsia="de-DE"/>
        </w:rPr>
        <w:t>Nortrup</w:t>
      </w:r>
      <w:proofErr w:type="spellEnd"/>
      <w:r w:rsidR="00EE7861" w:rsidRPr="00EE7861">
        <w:rPr>
          <w:rFonts w:ascii="Arial" w:eastAsia="Times New Roman" w:hAnsi="Arial" w:cs="Arial"/>
          <w:lang w:eastAsia="de-DE"/>
        </w:rPr>
        <w:t>, Flur 12, Flurstück 324/1 und 323/1 (teilweise).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16308B">
        <w:rPr>
          <w:rFonts w:ascii="Arial" w:eastAsia="Times New Roman" w:hAnsi="Arial" w:cs="Arial"/>
          <w:szCs w:val="20"/>
          <w:lang w:eastAsia="de-DE"/>
        </w:rPr>
        <w:t>Es war eine standortbezogene Vorprüfung des Einzelfalls gem. § 9 Abs. 2 Nr. 2 i.V.m. Nr. 7.11.3 der Anlage 1 des UVPG durchzuführen. Die Prüfung hat ergeben, dass aus folgenden Gründen die Durchführung einer UVP für das Vorhaben nicht erforderlich ist: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16308B">
        <w:rPr>
          <w:rFonts w:ascii="Arial" w:eastAsia="Times New Roman" w:hAnsi="Arial" w:cs="Arial"/>
          <w:szCs w:val="20"/>
          <w:lang w:eastAsia="de-DE"/>
        </w:rPr>
        <w:t xml:space="preserve">Für die Gebiete nach Nr. 2.3 der Anlage 3 des Gesetzes über Umweltverträglichkeitsprüfungen können erhebliche Umweltauswirkungen durch das Vorhaben ausgeschlossen werden. 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szCs w:val="20"/>
          <w:lang w:eastAsia="de-DE"/>
        </w:rPr>
        <w:t xml:space="preserve">Für die Gebiete nach Nr. 2.3 der Anlage 3 des Gesetzes über Umweltverträglichkeitsprüfungen kann eine potentielle Betroffenheit durch das Vorhaben ausgeschlossen werden. </w:t>
      </w:r>
      <w:proofErr w:type="gramStart"/>
      <w:r w:rsidRPr="0016308B">
        <w:rPr>
          <w:rFonts w:ascii="Arial" w:eastAsia="Times New Roman" w:hAnsi="Arial" w:cs="Arial"/>
          <w:szCs w:val="20"/>
          <w:lang w:eastAsia="de-DE"/>
        </w:rPr>
        <w:t>Eine Betroffenheit kann für folgende Gebiete ausgeschlossen werden, da keine entsprechenden Gebiete im Umkreis des Vorhabens vorhanden sind: Nationalparke und Nationale Naturmonumente nach § 24 BNatSchG, Biosphärenreservate gem. § 25 BNatSchG</w:t>
      </w:r>
      <w:r w:rsidR="001F2663">
        <w:rPr>
          <w:rFonts w:ascii="Arial" w:eastAsia="Times New Roman" w:hAnsi="Arial" w:cs="Arial"/>
          <w:szCs w:val="20"/>
          <w:lang w:eastAsia="de-DE"/>
        </w:rPr>
        <w:t>,</w:t>
      </w:r>
      <w:r w:rsidRPr="0016308B">
        <w:rPr>
          <w:rFonts w:ascii="Arial" w:eastAsia="Times New Roman" w:hAnsi="Arial" w:cs="Arial"/>
          <w:szCs w:val="20"/>
          <w:lang w:eastAsia="de-DE"/>
        </w:rPr>
        <w:t xml:space="preserve"> Heilquellenschutzgebiete nach   § 53 Abs. 4 WHG, Risikogebiete nach § 73 Abs. 1 WHG, Gebiete, in denen die Vorschriften der EU festgelegten Umweltqualitätsnormen bereits überschritten sind, Gebieten mit hoher Bevölkerungsdichte, insbesondere zentrale Orte </w:t>
      </w:r>
      <w:proofErr w:type="spellStart"/>
      <w:r w:rsidRPr="0016308B">
        <w:rPr>
          <w:rFonts w:ascii="Arial" w:eastAsia="Times New Roman" w:hAnsi="Arial" w:cs="Arial"/>
          <w:szCs w:val="20"/>
          <w:lang w:eastAsia="de-DE"/>
        </w:rPr>
        <w:t>i.S.</w:t>
      </w:r>
      <w:bookmarkStart w:id="0" w:name="_GoBack"/>
      <w:bookmarkEnd w:id="0"/>
      <w:r w:rsidRPr="0016308B">
        <w:rPr>
          <w:rFonts w:ascii="Arial" w:eastAsia="Times New Roman" w:hAnsi="Arial" w:cs="Arial"/>
          <w:szCs w:val="20"/>
          <w:lang w:eastAsia="de-DE"/>
        </w:rPr>
        <w:t>d</w:t>
      </w:r>
      <w:proofErr w:type="spellEnd"/>
      <w:r w:rsidRPr="0016308B">
        <w:rPr>
          <w:rFonts w:ascii="Arial" w:eastAsia="Times New Roman" w:hAnsi="Arial" w:cs="Arial"/>
          <w:szCs w:val="20"/>
          <w:lang w:eastAsia="de-DE"/>
        </w:rPr>
        <w:t>. § 2 Abs. 2 Nr. 2 ROG und für i</w:t>
      </w:r>
      <w:r w:rsidRPr="0016308B">
        <w:rPr>
          <w:rFonts w:ascii="Arial" w:eastAsia="Times New Roman" w:hAnsi="Arial" w:cs="Arial"/>
          <w:lang w:eastAsia="de-DE"/>
        </w:rPr>
        <w:t>n amtlichen Listen oder Karten verzeichnete Denkmäler, Denkmalensembles, Bodendenkmale oder Gebiete, die von der durch die Länder bestimmten Denkmalschutzbehörde als archäologisch bedeutende Landschaften eingestuft worden sind.</w:t>
      </w:r>
      <w:proofErr w:type="gramEnd"/>
      <w:r w:rsidRPr="0016308B">
        <w:rPr>
          <w:rFonts w:ascii="Arial" w:eastAsia="Times New Roman" w:hAnsi="Arial" w:cs="Arial"/>
          <w:lang w:eastAsia="de-DE"/>
        </w:rPr>
        <w:t xml:space="preserve"> 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 xml:space="preserve">Für Natura 2.000 Gebiete nach § 7 Abs. 1 BNatSchG können erhebliche Auswirkungen ausgeschlossen werden. Zwar befindet sich das nächstgelegene FFH-Gebiet 53 „Bäche im </w:t>
      </w:r>
      <w:proofErr w:type="spellStart"/>
      <w:r w:rsidRPr="0016308B">
        <w:rPr>
          <w:rFonts w:ascii="Arial" w:eastAsia="Times New Roman" w:hAnsi="Arial" w:cs="Arial"/>
          <w:lang w:eastAsia="de-DE"/>
        </w:rPr>
        <w:t>Arland</w:t>
      </w:r>
      <w:proofErr w:type="spellEnd"/>
      <w:r w:rsidRPr="0016308B">
        <w:rPr>
          <w:rFonts w:ascii="Arial" w:eastAsia="Times New Roman" w:hAnsi="Arial" w:cs="Arial"/>
          <w:lang w:eastAsia="de-DE"/>
        </w:rPr>
        <w:t xml:space="preserve">“ in ca. </w:t>
      </w:r>
      <w:r w:rsidR="00EE7861">
        <w:rPr>
          <w:rFonts w:ascii="Arial" w:eastAsia="Times New Roman" w:hAnsi="Arial" w:cs="Arial"/>
          <w:lang w:eastAsia="de-DE"/>
        </w:rPr>
        <w:t>65</w:t>
      </w:r>
      <w:r w:rsidRPr="0016308B">
        <w:rPr>
          <w:rFonts w:ascii="Arial" w:eastAsia="Times New Roman" w:hAnsi="Arial" w:cs="Arial"/>
          <w:lang w:eastAsia="de-DE"/>
        </w:rPr>
        <w:t xml:space="preserve"> m nordwestlicher Entfernung zum Vorhabenstandort, aber aufgrund der Standortwahl auf dem Betriebsgelände, der bereits vorhandenen Tierhaltungsanlage, der Ausrüstung des Güllehochbehälters mit einer Zeltdachabdeckung und der Ausführung</w:t>
      </w:r>
      <w:r w:rsidR="00EE7861">
        <w:rPr>
          <w:rFonts w:ascii="Arial" w:eastAsia="Times New Roman" w:hAnsi="Arial" w:cs="Arial"/>
          <w:lang w:eastAsia="de-DE"/>
        </w:rPr>
        <w:t xml:space="preserve"> (wasserundurchlässiges Material)</w:t>
      </w:r>
      <w:r w:rsidRPr="0016308B">
        <w:rPr>
          <w:rFonts w:ascii="Arial" w:eastAsia="Times New Roman" w:hAnsi="Arial" w:cs="Arial"/>
          <w:lang w:eastAsia="de-DE"/>
        </w:rPr>
        <w:t xml:space="preserve"> des Abfüllplatzes können erhebliche Umweltauswirkungen ausgeschlossen werden.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>Zudem können auch für Naturschutzgebiete nach § 23 BNatSchG erhebliche Auswirkungen ausgeschlossen werden. Erhebliche Umweltauswirkungen durch das Vorhaben auf das Naturschutzgebiet „</w:t>
      </w:r>
      <w:proofErr w:type="spellStart"/>
      <w:r w:rsidRPr="0016308B">
        <w:rPr>
          <w:rFonts w:ascii="Arial" w:eastAsia="Times New Roman" w:hAnsi="Arial" w:cs="Arial"/>
          <w:lang w:eastAsia="de-DE"/>
        </w:rPr>
        <w:t>Suddenmoor</w:t>
      </w:r>
      <w:proofErr w:type="spellEnd"/>
      <w:r w:rsidRPr="0016308B">
        <w:rPr>
          <w:rFonts w:ascii="Arial" w:eastAsia="Times New Roman" w:hAnsi="Arial" w:cs="Arial"/>
          <w:lang w:eastAsia="de-DE"/>
        </w:rPr>
        <w:t>/Anten“, welches sich in ca. 7 km nordwestlicher Entfernung zum Vorhabenstandort befindet, können aufgrund der Entfernung ausgeschlossen werden.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lastRenderedPageBreak/>
        <w:t xml:space="preserve">Auch für Landschaftsschutzgebiete nach § 26 BNatSchG können erhebliche Auswirkungen ausgeschlossen werden. Das nächstgelegene Landschaftsschutzgebiet </w:t>
      </w:r>
      <w:r w:rsidR="00EE7861" w:rsidRPr="00EE7861">
        <w:rPr>
          <w:rFonts w:ascii="Arial" w:eastAsia="Times New Roman" w:hAnsi="Arial" w:cs="Arial"/>
          <w:lang w:eastAsia="de-DE"/>
        </w:rPr>
        <w:t xml:space="preserve">LSG OS 58 „Bäche im </w:t>
      </w:r>
      <w:proofErr w:type="spellStart"/>
      <w:r w:rsidR="00EE7861" w:rsidRPr="00EE7861">
        <w:rPr>
          <w:rFonts w:ascii="Arial" w:eastAsia="Times New Roman" w:hAnsi="Arial" w:cs="Arial"/>
          <w:lang w:eastAsia="de-DE"/>
        </w:rPr>
        <w:t>Artland</w:t>
      </w:r>
      <w:proofErr w:type="spellEnd"/>
      <w:r w:rsidR="00EE7861" w:rsidRPr="00EE7861">
        <w:rPr>
          <w:rFonts w:ascii="Arial" w:eastAsia="Times New Roman" w:hAnsi="Arial" w:cs="Arial"/>
          <w:lang w:eastAsia="de-DE"/>
        </w:rPr>
        <w:t xml:space="preserve">“ </w:t>
      </w:r>
      <w:r w:rsidR="00EE7861">
        <w:rPr>
          <w:rFonts w:ascii="Arial" w:eastAsia="Times New Roman" w:hAnsi="Arial" w:cs="Arial"/>
          <w:lang w:eastAsia="de-DE"/>
        </w:rPr>
        <w:t xml:space="preserve">befindet sich </w:t>
      </w:r>
      <w:r w:rsidR="00EE7861" w:rsidRPr="00EE7861">
        <w:rPr>
          <w:rFonts w:ascii="Arial" w:eastAsia="Times New Roman" w:hAnsi="Arial" w:cs="Arial"/>
          <w:lang w:eastAsia="de-DE"/>
        </w:rPr>
        <w:t xml:space="preserve">in ca. 65 m nordwestlicher Entfernung sowie </w:t>
      </w:r>
      <w:r w:rsidR="00EE7861">
        <w:rPr>
          <w:rFonts w:ascii="Arial" w:eastAsia="Times New Roman" w:hAnsi="Arial" w:cs="Arial"/>
          <w:lang w:eastAsia="de-DE"/>
        </w:rPr>
        <w:t xml:space="preserve">das </w:t>
      </w:r>
      <w:r w:rsidRPr="0016308B">
        <w:rPr>
          <w:rFonts w:ascii="Arial" w:eastAsia="Times New Roman" w:hAnsi="Arial" w:cs="Arial"/>
          <w:lang w:eastAsia="de-DE"/>
        </w:rPr>
        <w:t xml:space="preserve">LSG OS 01 „Nördlicher Teutoburger Wald – </w:t>
      </w:r>
      <w:proofErr w:type="spellStart"/>
      <w:r w:rsidRPr="0016308B">
        <w:rPr>
          <w:rFonts w:ascii="Arial" w:eastAsia="Times New Roman" w:hAnsi="Arial" w:cs="Arial"/>
          <w:lang w:eastAsia="de-DE"/>
        </w:rPr>
        <w:t>Wiehengebirge</w:t>
      </w:r>
      <w:proofErr w:type="spellEnd"/>
      <w:r w:rsidRPr="0016308B">
        <w:rPr>
          <w:rFonts w:ascii="Arial" w:eastAsia="Times New Roman" w:hAnsi="Arial" w:cs="Arial"/>
          <w:lang w:eastAsia="de-DE"/>
        </w:rPr>
        <w:t xml:space="preserve"> (Teilfläche 6/31) in ca. 1.000 m südwestlicher Entfernung zum Vorhabenstandort. Erhebliche Umweltauswirkungen </w:t>
      </w:r>
      <w:r w:rsidR="001F2663">
        <w:rPr>
          <w:rFonts w:ascii="Arial" w:eastAsia="Times New Roman" w:hAnsi="Arial" w:cs="Arial"/>
          <w:lang w:eastAsia="de-DE"/>
        </w:rPr>
        <w:t>auf die</w:t>
      </w:r>
      <w:r w:rsidRPr="0016308B">
        <w:rPr>
          <w:rFonts w:ascii="Arial" w:eastAsia="Times New Roman" w:hAnsi="Arial" w:cs="Arial"/>
          <w:lang w:eastAsia="de-DE"/>
        </w:rPr>
        <w:t xml:space="preserve"> Landschaftsschutzgebiet</w:t>
      </w:r>
      <w:r w:rsidR="001F2663">
        <w:rPr>
          <w:rFonts w:ascii="Arial" w:eastAsia="Times New Roman" w:hAnsi="Arial" w:cs="Arial"/>
          <w:lang w:eastAsia="de-DE"/>
        </w:rPr>
        <w:t>e</w:t>
      </w:r>
      <w:r w:rsidRPr="0016308B">
        <w:rPr>
          <w:rFonts w:ascii="Arial" w:eastAsia="Times New Roman" w:hAnsi="Arial" w:cs="Arial"/>
          <w:lang w:eastAsia="de-DE"/>
        </w:rPr>
        <w:t xml:space="preserve"> können</w:t>
      </w:r>
      <w:r w:rsidR="001F2663" w:rsidRPr="001F2663">
        <w:t xml:space="preserve"> </w:t>
      </w:r>
      <w:r w:rsidR="001F2663" w:rsidRPr="001F2663">
        <w:rPr>
          <w:rFonts w:ascii="Arial" w:eastAsia="Times New Roman" w:hAnsi="Arial" w:cs="Arial"/>
          <w:lang w:eastAsia="de-DE"/>
        </w:rPr>
        <w:t>durch d</w:t>
      </w:r>
      <w:r w:rsidR="001F2663">
        <w:rPr>
          <w:rFonts w:ascii="Arial" w:eastAsia="Times New Roman" w:hAnsi="Arial" w:cs="Arial"/>
          <w:lang w:eastAsia="de-DE"/>
        </w:rPr>
        <w:t>ie</w:t>
      </w:r>
      <w:r w:rsidR="001F2663" w:rsidRPr="001F2663">
        <w:rPr>
          <w:rFonts w:ascii="Arial" w:eastAsia="Times New Roman" w:hAnsi="Arial" w:cs="Arial"/>
          <w:lang w:eastAsia="de-DE"/>
        </w:rPr>
        <w:t xml:space="preserve"> Standort</w:t>
      </w:r>
      <w:r w:rsidR="001F2663">
        <w:rPr>
          <w:rFonts w:ascii="Arial" w:eastAsia="Times New Roman" w:hAnsi="Arial" w:cs="Arial"/>
          <w:lang w:eastAsia="de-DE"/>
        </w:rPr>
        <w:t>wahl (</w:t>
      </w:r>
      <w:r w:rsidR="001F2663" w:rsidRPr="001F2663">
        <w:rPr>
          <w:rFonts w:ascii="Arial" w:eastAsia="Times New Roman" w:hAnsi="Arial" w:cs="Arial"/>
          <w:lang w:eastAsia="de-DE"/>
        </w:rPr>
        <w:t>unmittelbare</w:t>
      </w:r>
      <w:r w:rsidR="001F2663">
        <w:rPr>
          <w:rFonts w:ascii="Arial" w:eastAsia="Times New Roman" w:hAnsi="Arial" w:cs="Arial"/>
          <w:lang w:eastAsia="de-DE"/>
        </w:rPr>
        <w:t>r</w:t>
      </w:r>
      <w:r w:rsidR="001F2663" w:rsidRPr="001F2663">
        <w:rPr>
          <w:rFonts w:ascii="Arial" w:eastAsia="Times New Roman" w:hAnsi="Arial" w:cs="Arial"/>
          <w:lang w:eastAsia="de-DE"/>
        </w:rPr>
        <w:t xml:space="preserve"> Anschluss an die vorhandene Hofstelle mit den dort vorhandene Stall- und Wirtschaftsgebäuden</w:t>
      </w:r>
      <w:r w:rsidR="001F2663">
        <w:rPr>
          <w:rFonts w:ascii="Arial" w:eastAsia="Times New Roman" w:hAnsi="Arial" w:cs="Arial"/>
          <w:lang w:eastAsia="de-DE"/>
        </w:rPr>
        <w:t xml:space="preserve">) sowie </w:t>
      </w:r>
      <w:r w:rsidRPr="0016308B">
        <w:rPr>
          <w:rFonts w:ascii="Arial" w:eastAsia="Times New Roman" w:hAnsi="Arial" w:cs="Arial"/>
          <w:lang w:eastAsia="de-DE"/>
        </w:rPr>
        <w:t>aufgrund der Entfernung zum Vorhabenstandort ausgeschlossen werden.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>Für Naturdenkmäler nach § 28 BNatSchG können erhebliche Auswirkungen ausgeschlossen werden. Obwohl sich zum Vorhabenstandort die Naturdenkmäler ND OS-197 „Erlenbruch- und Stieleichen-Birkenwald mit Waldteich in ca. 2200 m nordwestlicher und ND OS-25 „</w:t>
      </w:r>
      <w:proofErr w:type="spellStart"/>
      <w:r w:rsidRPr="0016308B">
        <w:rPr>
          <w:rFonts w:ascii="Arial" w:eastAsia="Times New Roman" w:hAnsi="Arial" w:cs="Arial"/>
          <w:lang w:eastAsia="de-DE"/>
        </w:rPr>
        <w:t>Rickelmanns</w:t>
      </w:r>
      <w:proofErr w:type="spellEnd"/>
      <w:r w:rsidRPr="0016308B">
        <w:rPr>
          <w:rFonts w:ascii="Arial" w:eastAsia="Times New Roman" w:hAnsi="Arial" w:cs="Arial"/>
          <w:lang w:eastAsia="de-DE"/>
        </w:rPr>
        <w:t>-moor“ in ca. 1900 m ostsüdöstlicher Entfernung befinden, können erhebliche Umweltauswirkungen durch die Ausrüstung des Güllehochbehälters mit einer Zeltdachabdeckung ausgeschlossen werden.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>Des Weiteren können auch für geschützte Landschaftsbestandteile, insbesondere Alleen, nach § 29 BNatSchG erhebliche Auswirkungen ausgeschlossen werden. Zwar befinden sich Wallhecken in ca. 130 m westlicher, 140 m nordwestlicher und 250 m südwestlicher Entfernung zum Vorhabenstandort, bei denen es sich um geschützte Landschaftsbestandteile handelt. Erhebliche Umweltauswirkungen können aber durch die Ausrüstung des Güllehochbehälters mit einer Zeltdachabdeckung ausgeschlossen werden.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 xml:space="preserve">Auch für gesetzlich geschützte Biotope nach § 30 BNatSchG können erhebliche Auswirkungen ausgeschlossen werden. Es befinden sich zwar die gesetzlich geschützten Biotope „Sonstiges naturnahes nährstoffreiches Kleingewässer“ in ca. 1900 m west-nordwestlicher, „Feuchtbiotop </w:t>
      </w:r>
      <w:proofErr w:type="spellStart"/>
      <w:r w:rsidRPr="0016308B">
        <w:rPr>
          <w:rFonts w:ascii="Arial" w:eastAsia="Times New Roman" w:hAnsi="Arial" w:cs="Arial"/>
          <w:lang w:eastAsia="de-DE"/>
        </w:rPr>
        <w:t>Nortrup</w:t>
      </w:r>
      <w:proofErr w:type="spellEnd"/>
      <w:r w:rsidRPr="0016308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16308B">
        <w:rPr>
          <w:rFonts w:ascii="Arial" w:eastAsia="Times New Roman" w:hAnsi="Arial" w:cs="Arial"/>
          <w:lang w:eastAsia="de-DE"/>
        </w:rPr>
        <w:t>Schlüwe</w:t>
      </w:r>
      <w:proofErr w:type="spellEnd"/>
      <w:r w:rsidRPr="0016308B">
        <w:rPr>
          <w:rFonts w:ascii="Arial" w:eastAsia="Times New Roman" w:hAnsi="Arial" w:cs="Arial"/>
          <w:lang w:eastAsia="de-DE"/>
        </w:rPr>
        <w:t>“ und „</w:t>
      </w:r>
      <w:proofErr w:type="spellStart"/>
      <w:r w:rsidRPr="0016308B">
        <w:rPr>
          <w:rFonts w:ascii="Arial" w:eastAsia="Times New Roman" w:hAnsi="Arial" w:cs="Arial"/>
          <w:lang w:eastAsia="de-DE"/>
        </w:rPr>
        <w:t>Nortrup</w:t>
      </w:r>
      <w:proofErr w:type="spellEnd"/>
      <w:r w:rsidRPr="0016308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16308B">
        <w:rPr>
          <w:rFonts w:ascii="Arial" w:eastAsia="Times New Roman" w:hAnsi="Arial" w:cs="Arial"/>
          <w:lang w:eastAsia="de-DE"/>
        </w:rPr>
        <w:t>Schlüwe</w:t>
      </w:r>
      <w:proofErr w:type="spellEnd"/>
      <w:r w:rsidRPr="0016308B">
        <w:rPr>
          <w:rFonts w:ascii="Arial" w:eastAsia="Times New Roman" w:hAnsi="Arial" w:cs="Arial"/>
          <w:lang w:eastAsia="de-DE"/>
        </w:rPr>
        <w:t xml:space="preserve"> 2“ in ca. 1900 m west-südwestlicher sowie „Waldteiche bei </w:t>
      </w:r>
      <w:proofErr w:type="spellStart"/>
      <w:r w:rsidRPr="0016308B">
        <w:rPr>
          <w:rFonts w:ascii="Arial" w:eastAsia="Times New Roman" w:hAnsi="Arial" w:cs="Arial"/>
          <w:lang w:eastAsia="de-DE"/>
        </w:rPr>
        <w:t>Druchhorn</w:t>
      </w:r>
      <w:proofErr w:type="spellEnd"/>
      <w:r w:rsidRPr="0016308B">
        <w:rPr>
          <w:rFonts w:ascii="Arial" w:eastAsia="Times New Roman" w:hAnsi="Arial" w:cs="Arial"/>
          <w:lang w:eastAsia="de-DE"/>
        </w:rPr>
        <w:t xml:space="preserve"> in ca. 2000 m südöstlicher Entfernung zum Vorhabenstandort, aber erhebliche Umweltauswirkungen können aufgrund der Entfernung ausgeschlossen werden.</w:t>
      </w:r>
    </w:p>
    <w:p w:rsidR="001F2663" w:rsidRDefault="001F2663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F2663" w:rsidRDefault="001F2663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F2663">
        <w:rPr>
          <w:rFonts w:ascii="Arial" w:eastAsia="Times New Roman" w:hAnsi="Arial" w:cs="Arial"/>
          <w:lang w:eastAsia="de-DE"/>
        </w:rPr>
        <w:t>Zudem können erhebliche Auswirkungen aufgrund der Entfernung der nächstgelegenen Schutzgebiete (Wasserschutzgebiet in 4.000 m und Überschwemmungsgebiet „</w:t>
      </w:r>
      <w:proofErr w:type="spellStart"/>
      <w:r w:rsidRPr="001F2663">
        <w:rPr>
          <w:rFonts w:ascii="Arial" w:eastAsia="Times New Roman" w:hAnsi="Arial" w:cs="Arial"/>
          <w:lang w:eastAsia="de-DE"/>
        </w:rPr>
        <w:t>Kohlriedendach</w:t>
      </w:r>
      <w:proofErr w:type="spellEnd"/>
      <w:r w:rsidRPr="001F2663">
        <w:rPr>
          <w:rFonts w:ascii="Arial" w:eastAsia="Times New Roman" w:hAnsi="Arial" w:cs="Arial"/>
          <w:lang w:eastAsia="de-DE"/>
        </w:rPr>
        <w:t>“ in ca. 1.200 m Entfernung) zum Vorhabenstandort ausgeschlossen werden.</w:t>
      </w:r>
    </w:p>
    <w:p w:rsidR="001F2663" w:rsidRPr="0016308B" w:rsidRDefault="001F2663" w:rsidP="0016308B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>Es sind insgesamt keine erheblichen Umweltauswirkungen durch das Vorhaben zu erwarten.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>Diese Bekanntgabe ist gem. § 5 Abs. 3 Satz 1 UVPG nicht selbständig anfechtbar.</w:t>
      </w:r>
    </w:p>
    <w:p w:rsidR="0016308B" w:rsidRPr="0016308B" w:rsidRDefault="0016308B" w:rsidP="0016308B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 xml:space="preserve">Osnabrück, den </w:t>
      </w:r>
      <w:r w:rsidR="00996E37" w:rsidRPr="00996E37">
        <w:rPr>
          <w:rFonts w:ascii="Arial" w:eastAsia="Times New Roman" w:hAnsi="Arial" w:cs="Arial"/>
          <w:lang w:eastAsia="de-DE"/>
        </w:rPr>
        <w:t>15</w:t>
      </w:r>
      <w:r w:rsidRPr="0016308B">
        <w:rPr>
          <w:rFonts w:ascii="Arial" w:eastAsia="Times New Roman" w:hAnsi="Arial" w:cs="Arial"/>
          <w:lang w:eastAsia="de-DE"/>
        </w:rPr>
        <w:t>.0</w:t>
      </w:r>
      <w:r w:rsidR="00996E37">
        <w:rPr>
          <w:rFonts w:ascii="Arial" w:eastAsia="Times New Roman" w:hAnsi="Arial" w:cs="Arial"/>
          <w:lang w:eastAsia="de-DE"/>
        </w:rPr>
        <w:t>2</w:t>
      </w:r>
      <w:r w:rsidRPr="0016308B">
        <w:rPr>
          <w:rFonts w:ascii="Arial" w:eastAsia="Times New Roman" w:hAnsi="Arial" w:cs="Arial"/>
          <w:lang w:eastAsia="de-DE"/>
        </w:rPr>
        <w:t>.20</w:t>
      </w:r>
      <w:r>
        <w:rPr>
          <w:rFonts w:ascii="Arial" w:eastAsia="Times New Roman" w:hAnsi="Arial" w:cs="Arial"/>
          <w:lang w:eastAsia="de-DE"/>
        </w:rPr>
        <w:t>21</w:t>
      </w:r>
    </w:p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>Landkreis Osnabrück</w:t>
      </w:r>
    </w:p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Landrätin</w:t>
      </w:r>
    </w:p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>Fachdienst Planen und Bauen</w:t>
      </w:r>
    </w:p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>Im Auftrage</w:t>
      </w:r>
    </w:p>
    <w:p w:rsidR="0016308B" w:rsidRPr="0016308B" w:rsidRDefault="0016308B" w:rsidP="0016308B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de-DE"/>
        </w:rPr>
      </w:pPr>
      <w:r w:rsidRPr="0016308B">
        <w:rPr>
          <w:rFonts w:ascii="Arial" w:eastAsia="Times New Roman" w:hAnsi="Arial" w:cs="Arial"/>
          <w:lang w:eastAsia="de-DE"/>
        </w:rPr>
        <w:t>Röwekamp</w:t>
      </w:r>
    </w:p>
    <w:p w:rsidR="006B12F9" w:rsidRDefault="006B12F9"/>
    <w:sectPr w:rsidR="006B12F9" w:rsidSect="0016308B">
      <w:footerReference w:type="default" r:id="rId4"/>
      <w:footerReference w:type="first" r:id="rId5"/>
      <w:pgSz w:w="11907" w:h="16840" w:code="9"/>
      <w:pgMar w:top="1134" w:right="1134" w:bottom="1134" w:left="1474" w:header="272" w:footer="851" w:gutter="0"/>
      <w:paperSrc w:first="11" w:other="1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B0" w:rsidRDefault="00873975">
    <w:pPr>
      <w:pStyle w:val="Fuzeile"/>
    </w:pPr>
    <w:r>
      <w:t>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B0" w:rsidRDefault="00873975">
    <w:pPr>
      <w:pStyle w:val="Fuzeile"/>
      <w:ind w:left="-1310" w:right="-142"/>
    </w:pPr>
    <w:r>
      <w:t> 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68"/>
    <w:rsid w:val="0016308B"/>
    <w:rsid w:val="001F2663"/>
    <w:rsid w:val="00697D68"/>
    <w:rsid w:val="006B12F9"/>
    <w:rsid w:val="00873975"/>
    <w:rsid w:val="00996E37"/>
    <w:rsid w:val="00E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97153-CD2B-4647-943B-E4DBDF4C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1630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16308B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Waldhaus, Anna-Katharina</dc:creator>
  <cp:keywords/>
  <dc:description/>
  <cp:lastModifiedBy>Waldhaus, Anna-Katharina</cp:lastModifiedBy>
  <cp:revision>3</cp:revision>
  <dcterms:created xsi:type="dcterms:W3CDTF">2021-01-11T06:16:00Z</dcterms:created>
  <dcterms:modified xsi:type="dcterms:W3CDTF">2021-01-11T08:30:00Z</dcterms:modified>
</cp:coreProperties>
</file>