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1A" w:rsidRPr="007A4EAC" w:rsidRDefault="005C731A" w:rsidP="00CE07BC">
      <w:pPr>
        <w:spacing w:before="4" w:line="309" w:lineRule="exact"/>
        <w:jc w:val="center"/>
        <w:textAlignment w:val="baseline"/>
        <w:rPr>
          <w:rFonts w:eastAsia="Arial"/>
          <w:b/>
          <w:color w:val="000000"/>
          <w:spacing w:val="4"/>
          <w:sz w:val="26"/>
          <w:lang w:eastAsia="en-US"/>
        </w:rPr>
      </w:pPr>
      <w:r w:rsidRPr="007A4EAC">
        <w:rPr>
          <w:rFonts w:eastAsia="Arial"/>
          <w:b/>
          <w:color w:val="000000"/>
          <w:spacing w:val="4"/>
          <w:sz w:val="26"/>
          <w:lang w:eastAsia="en-US"/>
        </w:rPr>
        <w:t>Vorprüfung</w:t>
      </w:r>
    </w:p>
    <w:p w:rsidR="005C731A" w:rsidRPr="007A4EAC" w:rsidRDefault="005C731A" w:rsidP="00CE07BC">
      <w:pPr>
        <w:spacing w:before="4" w:line="242" w:lineRule="exact"/>
        <w:jc w:val="center"/>
        <w:textAlignment w:val="baseline"/>
        <w:rPr>
          <w:rFonts w:eastAsia="Arial"/>
          <w:b/>
          <w:color w:val="000000"/>
          <w:spacing w:val="1"/>
          <w:sz w:val="21"/>
          <w:lang w:eastAsia="en-US"/>
        </w:rPr>
      </w:pPr>
      <w:r w:rsidRPr="007A4EAC">
        <w:rPr>
          <w:rFonts w:eastAsia="Arial"/>
          <w:b/>
          <w:color w:val="000000"/>
          <w:spacing w:val="1"/>
          <w:sz w:val="21"/>
          <w:lang w:eastAsia="en-US"/>
        </w:rPr>
        <w:t>der Umweltverträglichkeit</w:t>
      </w:r>
    </w:p>
    <w:p w:rsidR="005C731A" w:rsidRPr="007A4EAC" w:rsidRDefault="005C731A" w:rsidP="00F758B8">
      <w:pPr>
        <w:spacing w:line="245" w:lineRule="exact"/>
        <w:jc w:val="both"/>
        <w:textAlignment w:val="baseline"/>
        <w:rPr>
          <w:rFonts w:eastAsia="Arial"/>
          <w:color w:val="000000"/>
          <w:sz w:val="21"/>
          <w:lang w:eastAsia="en-US"/>
        </w:rPr>
      </w:pPr>
      <w:r w:rsidRPr="007A4EAC">
        <w:rPr>
          <w:rFonts w:eastAsia="Arial"/>
          <w:color w:val="000000"/>
          <w:sz w:val="21"/>
          <w:lang w:eastAsia="en-US"/>
        </w:rPr>
        <w:t>Bei folgendem Bauvorhaben wurde die Notwendigkeit einer Umweltverträglichkei</w:t>
      </w:r>
      <w:r w:rsidR="00BC7490">
        <w:rPr>
          <w:rFonts w:eastAsia="Arial"/>
          <w:color w:val="000000"/>
          <w:sz w:val="21"/>
          <w:lang w:eastAsia="en-US"/>
        </w:rPr>
        <w:t xml:space="preserve">tsprüfung (UVP) gem. </w:t>
      </w:r>
      <w:r w:rsidR="00BB457B">
        <w:rPr>
          <w:rFonts w:ascii="Calibri" w:eastAsia="Arial Unicode MS" w:hAnsi="Calibri"/>
          <w:bCs/>
          <w:szCs w:val="20"/>
        </w:rPr>
        <w:t>§ </w:t>
      </w:r>
      <w:r w:rsidR="00BC7490">
        <w:rPr>
          <w:rFonts w:eastAsia="Arial"/>
          <w:color w:val="000000"/>
          <w:sz w:val="21"/>
          <w:lang w:eastAsia="en-US"/>
        </w:rPr>
        <w:t>7</w:t>
      </w:r>
      <w:r w:rsidRPr="007A4EAC">
        <w:rPr>
          <w:rFonts w:eastAsia="Arial"/>
          <w:color w:val="000000"/>
          <w:sz w:val="21"/>
          <w:lang w:eastAsia="en-US"/>
        </w:rPr>
        <w:t xml:space="preserve"> Abs. </w:t>
      </w:r>
      <w:r w:rsidR="00BC7490">
        <w:rPr>
          <w:rFonts w:eastAsia="Arial"/>
          <w:color w:val="000000"/>
          <w:sz w:val="21"/>
          <w:lang w:eastAsia="en-US"/>
        </w:rPr>
        <w:t>1</w:t>
      </w:r>
      <w:r w:rsidRPr="007A4EAC">
        <w:rPr>
          <w:rFonts w:eastAsia="Arial"/>
          <w:color w:val="000000"/>
          <w:sz w:val="21"/>
          <w:lang w:eastAsia="en-US"/>
        </w:rPr>
        <w:t xml:space="preserve"> nach dem Gesetz über die Umweltverträglichkeitsprüfung (UVPG) in der Neufassung vom 24.02.2010 (BGBI. 1 S. 94) zuletzt geändert durch Art. </w:t>
      </w:r>
      <w:r w:rsidR="004A5186" w:rsidRPr="007A4EAC">
        <w:rPr>
          <w:rFonts w:eastAsia="Arial"/>
          <w:color w:val="000000"/>
          <w:sz w:val="21"/>
          <w:lang w:eastAsia="en-US"/>
        </w:rPr>
        <w:t>117 der Verordnung vom 19. Juni 2020 (BGBl. I S. 1328)</w:t>
      </w:r>
      <w:r w:rsidR="00BC7490">
        <w:rPr>
          <w:rFonts w:eastAsia="Arial"/>
          <w:color w:val="000000"/>
          <w:sz w:val="21"/>
          <w:lang w:eastAsia="en-US"/>
        </w:rPr>
        <w:t xml:space="preserve"> </w:t>
      </w:r>
      <w:r w:rsidRPr="007A4EAC">
        <w:rPr>
          <w:rFonts w:eastAsia="Arial"/>
          <w:color w:val="000000"/>
          <w:sz w:val="21"/>
          <w:lang w:eastAsia="en-US"/>
        </w:rPr>
        <w:t>geprüft.</w:t>
      </w:r>
    </w:p>
    <w:p w:rsidR="005C731A" w:rsidRPr="007A4EAC" w:rsidRDefault="005C731A" w:rsidP="00F758B8">
      <w:pPr>
        <w:tabs>
          <w:tab w:val="left" w:pos="1656"/>
        </w:tabs>
        <w:spacing w:line="245" w:lineRule="exact"/>
        <w:jc w:val="both"/>
        <w:textAlignment w:val="baseline"/>
        <w:rPr>
          <w:rFonts w:eastAsia="Arial"/>
          <w:color w:val="000000"/>
          <w:sz w:val="21"/>
          <w:lang w:eastAsia="en-US"/>
        </w:rPr>
      </w:pPr>
    </w:p>
    <w:p w:rsidR="007E6222" w:rsidRDefault="004A5186" w:rsidP="00F758B8">
      <w:pPr>
        <w:jc w:val="both"/>
        <w:rPr>
          <w:rFonts w:eastAsia="Arial"/>
          <w:color w:val="000000"/>
          <w:sz w:val="21"/>
          <w:lang w:eastAsia="en-US"/>
        </w:rPr>
      </w:pPr>
      <w:r w:rsidRPr="007A4EAC">
        <w:rPr>
          <w:rFonts w:eastAsia="Arial"/>
          <w:color w:val="000000"/>
          <w:sz w:val="21"/>
          <w:lang w:eastAsia="en-US"/>
        </w:rPr>
        <w:t xml:space="preserve">Herr Ingo Lenz, </w:t>
      </w:r>
      <w:proofErr w:type="spellStart"/>
      <w:r w:rsidRPr="007A4EAC">
        <w:rPr>
          <w:rFonts w:eastAsia="Arial"/>
          <w:color w:val="000000"/>
          <w:sz w:val="21"/>
          <w:lang w:eastAsia="en-US"/>
        </w:rPr>
        <w:t>Birkhahnweg</w:t>
      </w:r>
      <w:proofErr w:type="spellEnd"/>
      <w:r w:rsidRPr="007A4EAC">
        <w:rPr>
          <w:rFonts w:eastAsia="Arial"/>
          <w:color w:val="000000"/>
          <w:sz w:val="21"/>
          <w:lang w:eastAsia="en-US"/>
        </w:rPr>
        <w:t xml:space="preserve"> 91, 26639 </w:t>
      </w:r>
      <w:proofErr w:type="spellStart"/>
      <w:r w:rsidRPr="007A4EAC">
        <w:rPr>
          <w:rFonts w:eastAsia="Arial"/>
          <w:color w:val="000000"/>
          <w:sz w:val="21"/>
          <w:lang w:eastAsia="en-US"/>
        </w:rPr>
        <w:t>Wiesmoor</w:t>
      </w:r>
      <w:proofErr w:type="spellEnd"/>
      <w:r w:rsidR="005C731A" w:rsidRPr="007A4EAC">
        <w:rPr>
          <w:rFonts w:eastAsia="Arial"/>
          <w:color w:val="000000"/>
          <w:sz w:val="21"/>
          <w:lang w:eastAsia="en-US"/>
        </w:rPr>
        <w:t xml:space="preserve"> plant in der Gemarkung </w:t>
      </w:r>
      <w:proofErr w:type="spellStart"/>
      <w:r w:rsidRPr="007A4EAC">
        <w:rPr>
          <w:rFonts w:eastAsia="Arial"/>
          <w:color w:val="000000"/>
          <w:sz w:val="21"/>
          <w:lang w:eastAsia="en-US"/>
        </w:rPr>
        <w:t>Wiesmoor</w:t>
      </w:r>
      <w:proofErr w:type="spellEnd"/>
      <w:r w:rsidR="005C731A" w:rsidRPr="007A4EAC">
        <w:rPr>
          <w:rFonts w:eastAsia="Arial"/>
          <w:color w:val="000000"/>
          <w:sz w:val="21"/>
          <w:lang w:eastAsia="en-US"/>
        </w:rPr>
        <w:t>, Flur 3</w:t>
      </w:r>
      <w:r w:rsidRPr="007A4EAC">
        <w:rPr>
          <w:rFonts w:eastAsia="Arial"/>
          <w:color w:val="000000"/>
          <w:sz w:val="21"/>
          <w:lang w:eastAsia="en-US"/>
        </w:rPr>
        <w:t>2</w:t>
      </w:r>
      <w:r w:rsidR="005C731A" w:rsidRPr="007A4EAC">
        <w:rPr>
          <w:rFonts w:eastAsia="Arial"/>
          <w:color w:val="000000"/>
          <w:sz w:val="21"/>
          <w:lang w:eastAsia="en-US"/>
        </w:rPr>
        <w:t>, Flur</w:t>
      </w:r>
      <w:r w:rsidRPr="007A4EAC">
        <w:rPr>
          <w:rFonts w:eastAsia="Arial"/>
          <w:color w:val="000000"/>
          <w:sz w:val="21"/>
          <w:lang w:eastAsia="en-US"/>
        </w:rPr>
        <w:t>stück 1</w:t>
      </w:r>
      <w:r w:rsidR="005C731A" w:rsidRPr="007A4EAC">
        <w:rPr>
          <w:rFonts w:eastAsia="Arial"/>
          <w:color w:val="000000"/>
          <w:sz w:val="21"/>
          <w:lang w:eastAsia="en-US"/>
        </w:rPr>
        <w:t xml:space="preserve">0/2 die </w:t>
      </w:r>
      <w:r w:rsidR="00801C8A">
        <w:rPr>
          <w:rFonts w:eastAsia="Arial"/>
          <w:color w:val="000000"/>
          <w:sz w:val="21"/>
          <w:lang w:eastAsia="en-US"/>
        </w:rPr>
        <w:t>Verlängerung</w:t>
      </w:r>
      <w:r w:rsidR="007A4EAC" w:rsidRPr="007A4EAC">
        <w:rPr>
          <w:rFonts w:eastAsia="Arial"/>
          <w:color w:val="000000"/>
          <w:sz w:val="21"/>
          <w:lang w:eastAsia="en-US"/>
        </w:rPr>
        <w:t xml:space="preserve"> seiner Rinder- und Kälberställe</w:t>
      </w:r>
      <w:r w:rsidR="00801C8A" w:rsidRPr="00801C8A">
        <w:rPr>
          <w:rFonts w:eastAsia="Arial"/>
          <w:color w:val="000000"/>
          <w:sz w:val="21"/>
          <w:lang w:eastAsia="en-US"/>
        </w:rPr>
        <w:t xml:space="preserve"> </w:t>
      </w:r>
      <w:r w:rsidR="00396BC8">
        <w:rPr>
          <w:rFonts w:eastAsia="Arial"/>
          <w:color w:val="000000"/>
          <w:sz w:val="21"/>
          <w:lang w:eastAsia="en-US"/>
        </w:rPr>
        <w:t>(</w:t>
      </w:r>
      <w:r w:rsidR="00801C8A" w:rsidRPr="007A4EAC">
        <w:rPr>
          <w:rFonts w:eastAsia="Arial"/>
          <w:color w:val="000000"/>
          <w:sz w:val="21"/>
          <w:lang w:eastAsia="en-US"/>
        </w:rPr>
        <w:t>von 4</w:t>
      </w:r>
      <w:r w:rsidR="00D464C4">
        <w:rPr>
          <w:rFonts w:eastAsia="Arial"/>
          <w:color w:val="000000"/>
          <w:sz w:val="21"/>
          <w:lang w:eastAsia="en-US"/>
        </w:rPr>
        <w:t>97</w:t>
      </w:r>
      <w:r w:rsidR="00801C8A" w:rsidRPr="007A4EAC">
        <w:rPr>
          <w:rFonts w:eastAsia="Arial"/>
          <w:color w:val="000000"/>
          <w:sz w:val="21"/>
          <w:lang w:eastAsia="en-US"/>
        </w:rPr>
        <w:t xml:space="preserve"> </w:t>
      </w:r>
      <w:r w:rsidR="00801C8A">
        <w:rPr>
          <w:rFonts w:eastAsia="Arial"/>
          <w:color w:val="000000"/>
          <w:sz w:val="21"/>
          <w:lang w:eastAsia="en-US"/>
        </w:rPr>
        <w:t>Tierp</w:t>
      </w:r>
      <w:r w:rsidR="00801C8A" w:rsidRPr="007A4EAC">
        <w:rPr>
          <w:rFonts w:eastAsia="Arial"/>
          <w:color w:val="000000"/>
          <w:sz w:val="21"/>
          <w:lang w:eastAsia="en-US"/>
        </w:rPr>
        <w:t xml:space="preserve">lätze auf </w:t>
      </w:r>
      <w:r w:rsidR="00396BC8">
        <w:rPr>
          <w:rFonts w:eastAsia="Arial"/>
          <w:color w:val="000000"/>
          <w:sz w:val="21"/>
          <w:lang w:eastAsia="en-US"/>
        </w:rPr>
        <w:t>620 Kuh-, 183</w:t>
      </w:r>
      <w:r w:rsidR="00801C8A" w:rsidRPr="007A4EAC">
        <w:rPr>
          <w:rFonts w:eastAsia="Arial"/>
          <w:color w:val="000000"/>
          <w:sz w:val="21"/>
          <w:lang w:eastAsia="en-US"/>
        </w:rPr>
        <w:t xml:space="preserve"> Rinder- und 70 Kälberplätze</w:t>
      </w:r>
      <w:r w:rsidR="00396BC8">
        <w:rPr>
          <w:rFonts w:eastAsia="Arial"/>
          <w:color w:val="000000"/>
          <w:sz w:val="21"/>
          <w:lang w:eastAsia="en-US"/>
        </w:rPr>
        <w:t>)</w:t>
      </w:r>
      <w:r w:rsidR="007A4EAC" w:rsidRPr="007A4EAC">
        <w:rPr>
          <w:rFonts w:eastAsia="Arial"/>
          <w:color w:val="000000"/>
          <w:sz w:val="21"/>
          <w:lang w:eastAsia="en-US"/>
        </w:rPr>
        <w:t>, die Erweiterung der Güllelagerung auf 13.415 m³</w:t>
      </w:r>
      <w:r w:rsidR="00801C8A">
        <w:rPr>
          <w:rFonts w:eastAsia="Arial"/>
          <w:color w:val="000000"/>
          <w:sz w:val="21"/>
          <w:lang w:eastAsia="en-US"/>
        </w:rPr>
        <w:t xml:space="preserve">, eine </w:t>
      </w:r>
      <w:r w:rsidR="00801C8A" w:rsidRPr="00801C8A">
        <w:rPr>
          <w:rFonts w:eastAsia="Arial"/>
          <w:color w:val="000000"/>
          <w:sz w:val="21"/>
          <w:lang w:eastAsia="en-US"/>
        </w:rPr>
        <w:t xml:space="preserve">Gärrestlagerung von 5.950 m³, </w:t>
      </w:r>
      <w:r w:rsidR="007A4EAC" w:rsidRPr="007A4EAC">
        <w:rPr>
          <w:rFonts w:eastAsia="Arial"/>
          <w:color w:val="000000"/>
          <w:sz w:val="21"/>
          <w:lang w:eastAsia="en-US"/>
        </w:rPr>
        <w:t xml:space="preserve">die Errichtung einer Klein-Biogasanlage (75 </w:t>
      </w:r>
      <w:proofErr w:type="spellStart"/>
      <w:r w:rsidR="007A4EAC" w:rsidRPr="007A4EAC">
        <w:rPr>
          <w:rFonts w:eastAsia="Arial"/>
          <w:color w:val="000000"/>
          <w:sz w:val="21"/>
          <w:lang w:eastAsia="en-US"/>
        </w:rPr>
        <w:t>KW</w:t>
      </w:r>
      <w:r w:rsidR="007A4EAC" w:rsidRPr="007A4EAC">
        <w:rPr>
          <w:vertAlign w:val="subscript"/>
        </w:rPr>
        <w:t>el</w:t>
      </w:r>
      <w:proofErr w:type="spellEnd"/>
      <w:r w:rsidR="007A4EAC" w:rsidRPr="007A4EAC">
        <w:rPr>
          <w:rFonts w:eastAsia="Arial"/>
          <w:color w:val="000000"/>
          <w:sz w:val="21"/>
          <w:lang w:eastAsia="en-US"/>
        </w:rPr>
        <w:t>) für die eigene Rindergülle</w:t>
      </w:r>
      <w:r w:rsidR="00801C8A" w:rsidRPr="00801C8A">
        <w:rPr>
          <w:rFonts w:eastAsia="Arial"/>
          <w:color w:val="000000"/>
          <w:sz w:val="21"/>
          <w:lang w:eastAsia="en-US"/>
        </w:rPr>
        <w:t xml:space="preserve"> </w:t>
      </w:r>
      <w:r w:rsidR="00801C8A" w:rsidRPr="007A4EAC">
        <w:rPr>
          <w:rFonts w:eastAsia="Arial"/>
          <w:color w:val="000000"/>
          <w:sz w:val="21"/>
          <w:lang w:eastAsia="en-US"/>
        </w:rPr>
        <w:t xml:space="preserve">sowie </w:t>
      </w:r>
      <w:r w:rsidR="002C5074">
        <w:rPr>
          <w:rFonts w:eastAsia="Arial"/>
          <w:color w:val="000000"/>
          <w:sz w:val="21"/>
          <w:lang w:eastAsia="en-US"/>
        </w:rPr>
        <w:t>einem Dunglagerplatz</w:t>
      </w:r>
      <w:r w:rsidR="007A4EAC" w:rsidRPr="007A4EAC">
        <w:rPr>
          <w:rFonts w:eastAsia="Arial"/>
          <w:color w:val="000000"/>
          <w:sz w:val="21"/>
          <w:lang w:eastAsia="en-US"/>
        </w:rPr>
        <w:t xml:space="preserve">. </w:t>
      </w:r>
      <w:r w:rsidR="00BC7490">
        <w:rPr>
          <w:rFonts w:eastAsia="Arial"/>
          <w:color w:val="000000"/>
          <w:sz w:val="21"/>
          <w:lang w:eastAsia="en-US"/>
        </w:rPr>
        <w:t>Der</w:t>
      </w:r>
      <w:r w:rsidR="005C731A" w:rsidRPr="007A4EAC">
        <w:rPr>
          <w:rFonts w:eastAsia="Arial"/>
          <w:color w:val="000000"/>
          <w:sz w:val="21"/>
          <w:lang w:eastAsia="en-US"/>
        </w:rPr>
        <w:t xml:space="preserve"> Standort des Vorhabens </w:t>
      </w:r>
      <w:r w:rsidR="00BC7490" w:rsidRPr="007A4EAC">
        <w:rPr>
          <w:rFonts w:eastAsia="Arial"/>
          <w:color w:val="000000"/>
          <w:sz w:val="21"/>
          <w:lang w:eastAsia="en-US"/>
        </w:rPr>
        <w:t>liegt</w:t>
      </w:r>
      <w:r w:rsidR="005C731A" w:rsidRPr="007A4EAC">
        <w:rPr>
          <w:rFonts w:eastAsia="Arial"/>
          <w:color w:val="000000"/>
          <w:sz w:val="21"/>
          <w:lang w:eastAsia="en-US"/>
        </w:rPr>
        <w:t xml:space="preserve"> </w:t>
      </w:r>
      <w:r w:rsidR="00BC7490">
        <w:rPr>
          <w:rFonts w:eastAsia="Arial"/>
          <w:color w:val="000000"/>
          <w:sz w:val="21"/>
          <w:lang w:eastAsia="en-US"/>
        </w:rPr>
        <w:t>im Außenbereich</w:t>
      </w:r>
      <w:r w:rsidR="005C731A" w:rsidRPr="007A4EAC">
        <w:rPr>
          <w:rFonts w:eastAsia="Arial"/>
          <w:color w:val="000000"/>
          <w:sz w:val="21"/>
          <w:lang w:eastAsia="en-US"/>
        </w:rPr>
        <w:t xml:space="preserve"> der </w:t>
      </w:r>
      <w:r w:rsidR="00BC7490">
        <w:rPr>
          <w:rFonts w:eastAsia="Arial"/>
          <w:color w:val="000000"/>
          <w:sz w:val="21"/>
          <w:lang w:eastAsia="en-US"/>
        </w:rPr>
        <w:t xml:space="preserve">Stadt </w:t>
      </w:r>
      <w:proofErr w:type="spellStart"/>
      <w:r w:rsidR="00BC7490">
        <w:rPr>
          <w:rFonts w:eastAsia="Arial"/>
          <w:color w:val="000000"/>
          <w:sz w:val="21"/>
          <w:lang w:eastAsia="en-US"/>
        </w:rPr>
        <w:t>Wiesmoor</w:t>
      </w:r>
      <w:proofErr w:type="spellEnd"/>
      <w:r w:rsidR="005C731A" w:rsidRPr="007A4EAC">
        <w:rPr>
          <w:rFonts w:eastAsia="Arial"/>
          <w:color w:val="000000"/>
          <w:sz w:val="21"/>
          <w:lang w:eastAsia="en-US"/>
        </w:rPr>
        <w:t>.</w:t>
      </w:r>
    </w:p>
    <w:p w:rsidR="007E6222" w:rsidRDefault="007E6222" w:rsidP="00F758B8">
      <w:pPr>
        <w:jc w:val="both"/>
        <w:rPr>
          <w:rFonts w:eastAsia="Arial"/>
          <w:color w:val="000000"/>
          <w:sz w:val="21"/>
          <w:lang w:eastAsia="en-US"/>
        </w:rPr>
      </w:pPr>
    </w:p>
    <w:p w:rsidR="002C5074" w:rsidRDefault="005C731A" w:rsidP="00F758B8">
      <w:pPr>
        <w:jc w:val="both"/>
        <w:rPr>
          <w:rFonts w:eastAsia="Arial"/>
          <w:color w:val="000000"/>
          <w:sz w:val="21"/>
          <w:lang w:eastAsia="en-US"/>
        </w:rPr>
      </w:pPr>
      <w:r w:rsidRPr="007A4EAC">
        <w:rPr>
          <w:rFonts w:eastAsia="Arial"/>
          <w:color w:val="000000"/>
          <w:sz w:val="21"/>
          <w:lang w:eastAsia="en-US"/>
        </w:rPr>
        <w:t xml:space="preserve">Gemäß </w:t>
      </w:r>
      <w:r w:rsidR="007E6222" w:rsidRPr="007E6222">
        <w:rPr>
          <w:rFonts w:eastAsia="Arial"/>
          <w:color w:val="000000"/>
          <w:sz w:val="21"/>
          <w:lang w:eastAsia="en-US"/>
        </w:rPr>
        <w:t xml:space="preserve">§ 7 Abs. 1 </w:t>
      </w:r>
      <w:r w:rsidRPr="007A4EAC">
        <w:rPr>
          <w:rFonts w:eastAsia="Arial"/>
          <w:color w:val="000000"/>
          <w:sz w:val="21"/>
          <w:lang w:eastAsia="en-US"/>
        </w:rPr>
        <w:t xml:space="preserve">UVPG </w:t>
      </w:r>
      <w:bookmarkStart w:id="0" w:name="_GoBack"/>
      <w:bookmarkEnd w:id="0"/>
      <w:r w:rsidR="00D464C4" w:rsidRPr="007E6222">
        <w:rPr>
          <w:rFonts w:eastAsia="Arial"/>
          <w:color w:val="000000"/>
          <w:sz w:val="21"/>
          <w:lang w:eastAsia="en-US"/>
        </w:rPr>
        <w:t xml:space="preserve">führt die zuständige Behörde </w:t>
      </w:r>
      <w:r w:rsidR="007E6222">
        <w:rPr>
          <w:rFonts w:eastAsia="Arial"/>
          <w:color w:val="000000"/>
          <w:sz w:val="21"/>
          <w:lang w:eastAsia="en-US"/>
        </w:rPr>
        <w:t>b</w:t>
      </w:r>
      <w:r w:rsidR="007E6222" w:rsidRPr="007E6222">
        <w:rPr>
          <w:rFonts w:eastAsia="Arial"/>
          <w:color w:val="000000"/>
          <w:sz w:val="21"/>
          <w:lang w:eastAsia="en-US"/>
        </w:rPr>
        <w:t>ei einem Neuvorhaben, das in Anlage 1 Spalte 2 mit dem Buchstaben „A“ gekennzeichnet ist, eine allgemeine Vorprüfung zur Feststellung der UVP-Pflicht durch. Die allgemeine Vorprüfung wird als überschlägige Prüfung unter Berücksichtigung der in Anlage 3 aufgeführten Kriterien durchgeführt. Die UVP-Pflicht besteht, wenn das Neuvorhaben nach Einschätzung der zuständigen Behörde erhebliche nachteilige Umweltauswirkungen haben kann, die nach § 25 Absatz 2 bei der Zulassungsentscheidung zu berücksichtigen wären.</w:t>
      </w:r>
      <w:r w:rsidR="007E6222">
        <w:rPr>
          <w:rFonts w:eastAsia="Arial"/>
          <w:color w:val="000000"/>
          <w:sz w:val="21"/>
          <w:lang w:eastAsia="en-US"/>
        </w:rPr>
        <w:t xml:space="preserve"> </w:t>
      </w:r>
      <w:r w:rsidRPr="007A4EAC">
        <w:rPr>
          <w:rFonts w:eastAsia="Arial"/>
          <w:color w:val="000000"/>
          <w:sz w:val="21"/>
          <w:lang w:eastAsia="en-US"/>
        </w:rPr>
        <w:t>Die Prüfung hat aus folgenden Gründen ergeben, dass keine erheblichen Umweltauswirkungen zu erwarten sind, sodass keine UVP-Pflich</w:t>
      </w:r>
      <w:r w:rsidR="002C5074">
        <w:rPr>
          <w:rFonts w:eastAsia="Arial"/>
          <w:color w:val="000000"/>
          <w:sz w:val="21"/>
          <w:lang w:eastAsia="en-US"/>
        </w:rPr>
        <w:t>t besteht.</w:t>
      </w:r>
    </w:p>
    <w:p w:rsidR="002C5074" w:rsidRDefault="002C5074" w:rsidP="00F758B8">
      <w:pPr>
        <w:jc w:val="both"/>
        <w:rPr>
          <w:rFonts w:eastAsia="Arial"/>
          <w:color w:val="000000"/>
          <w:sz w:val="21"/>
          <w:lang w:eastAsia="en-US"/>
        </w:rPr>
      </w:pPr>
    </w:p>
    <w:p w:rsidR="002C5074" w:rsidRDefault="005C731A" w:rsidP="00F758B8">
      <w:pPr>
        <w:jc w:val="both"/>
        <w:rPr>
          <w:rFonts w:eastAsia="Arial"/>
          <w:color w:val="000000"/>
          <w:sz w:val="21"/>
          <w:lang w:eastAsia="en-US"/>
        </w:rPr>
      </w:pPr>
      <w:r w:rsidRPr="007A4EAC">
        <w:rPr>
          <w:rFonts w:eastAsia="Arial"/>
          <w:color w:val="000000"/>
          <w:sz w:val="21"/>
          <w:lang w:eastAsia="en-US"/>
        </w:rPr>
        <w:t>Gemäß der Anlage 3 Nr. 3 des Gesetzes über Umweltverträglichkeitsprüfungen (UVPG) sind die möglichen Auswirkungen eines Vorhabens auf</w:t>
      </w:r>
      <w:r w:rsidR="002C5074">
        <w:rPr>
          <w:rFonts w:eastAsia="Arial"/>
          <w:color w:val="000000"/>
          <w:sz w:val="21"/>
          <w:lang w:eastAsia="en-US"/>
        </w:rPr>
        <w:t xml:space="preserve"> die Schutzgüter zu beurteilen.</w:t>
      </w:r>
    </w:p>
    <w:p w:rsidR="002C5074" w:rsidRDefault="002C5074" w:rsidP="00F758B8">
      <w:pPr>
        <w:jc w:val="both"/>
        <w:rPr>
          <w:rFonts w:eastAsia="Arial"/>
          <w:color w:val="000000"/>
          <w:sz w:val="21"/>
          <w:lang w:eastAsia="en-US"/>
        </w:rPr>
      </w:pPr>
    </w:p>
    <w:p w:rsidR="002C5074" w:rsidRDefault="005C731A" w:rsidP="00F758B8">
      <w:pPr>
        <w:jc w:val="both"/>
        <w:rPr>
          <w:rFonts w:eastAsia="Arial"/>
          <w:color w:val="000000"/>
          <w:sz w:val="21"/>
          <w:lang w:eastAsia="en-US"/>
        </w:rPr>
      </w:pPr>
      <w:r w:rsidRPr="007A4EAC">
        <w:rPr>
          <w:rFonts w:eastAsia="Arial"/>
          <w:color w:val="000000"/>
          <w:sz w:val="21"/>
          <w:lang w:eastAsia="en-US"/>
        </w:rPr>
        <w:t>Für die Schutzgüter Tiere, Pflanzen, biologische Vielfalt, Fläche, Wasser, Klima, Luft, Landschaft, kulturelles Erbe und sonstige Sachgüter sind keine erheblichen negativen Umweltauswirkungen durch das</w:t>
      </w:r>
      <w:r w:rsidR="002C5074">
        <w:rPr>
          <w:rFonts w:eastAsia="Arial"/>
          <w:color w:val="000000"/>
          <w:sz w:val="21"/>
          <w:lang w:eastAsia="en-US"/>
        </w:rPr>
        <w:t xml:space="preserve"> geplante Vorhaben zu erwarten.</w:t>
      </w:r>
    </w:p>
    <w:p w:rsidR="002C5074" w:rsidRDefault="002C5074" w:rsidP="00F758B8">
      <w:pPr>
        <w:jc w:val="both"/>
        <w:rPr>
          <w:rFonts w:eastAsia="Arial"/>
          <w:color w:val="000000"/>
          <w:sz w:val="21"/>
          <w:lang w:eastAsia="en-US"/>
        </w:rPr>
      </w:pPr>
    </w:p>
    <w:p w:rsidR="002C5074" w:rsidRDefault="00CE07BC" w:rsidP="00F758B8">
      <w:pPr>
        <w:jc w:val="both"/>
        <w:rPr>
          <w:rFonts w:eastAsia="Arial"/>
          <w:color w:val="000000"/>
          <w:sz w:val="21"/>
          <w:lang w:eastAsia="en-US"/>
        </w:rPr>
      </w:pPr>
      <w:r w:rsidRPr="00CE07BC">
        <w:rPr>
          <w:rFonts w:eastAsia="Arial"/>
          <w:color w:val="000000"/>
          <w:sz w:val="21"/>
          <w:lang w:eastAsia="en-US"/>
        </w:rPr>
        <w:t>Von den geplanten Baumaßnahmen sind keine wertvollen Biotope, Tiere oder Pflanzen betroffen.</w:t>
      </w:r>
      <w:r w:rsidR="00BB457B">
        <w:rPr>
          <w:rFonts w:eastAsia="Arial"/>
          <w:color w:val="000000"/>
          <w:sz w:val="21"/>
          <w:lang w:eastAsia="en-US"/>
        </w:rPr>
        <w:t xml:space="preserve"> </w:t>
      </w:r>
      <w:r w:rsidRPr="00CE07BC">
        <w:rPr>
          <w:rFonts w:eastAsia="Arial"/>
          <w:color w:val="000000"/>
          <w:sz w:val="21"/>
          <w:lang w:eastAsia="en-US"/>
        </w:rPr>
        <w:t>Für die Errichtung der Stallverlängerungen, sowie den Bau der Biogasanlage und der Nebenanlagen wie der Versiegelung der Hoffläche und Zufahrten werden intensiv landwirtschaftlich genutzte Grünlandflächen (GA, Grünland-</w:t>
      </w:r>
      <w:proofErr w:type="spellStart"/>
      <w:r w:rsidRPr="00CE07BC">
        <w:rPr>
          <w:rFonts w:eastAsia="Arial"/>
          <w:color w:val="000000"/>
          <w:sz w:val="21"/>
          <w:lang w:eastAsia="en-US"/>
        </w:rPr>
        <w:t>Ansaat</w:t>
      </w:r>
      <w:proofErr w:type="spellEnd"/>
      <w:r w:rsidRPr="00CE07BC">
        <w:rPr>
          <w:rFonts w:eastAsia="Arial"/>
          <w:color w:val="000000"/>
          <w:sz w:val="21"/>
          <w:lang w:eastAsia="en-US"/>
        </w:rPr>
        <w:t>, GIT, Intensivgrünland trockenerer Mineralbö</w:t>
      </w:r>
      <w:r>
        <w:rPr>
          <w:rFonts w:eastAsia="Arial"/>
          <w:color w:val="000000"/>
          <w:sz w:val="21"/>
          <w:lang w:eastAsia="en-US"/>
        </w:rPr>
        <w:t>den, und Sandacker (AS)) von ge</w:t>
      </w:r>
      <w:r w:rsidRPr="00CE07BC">
        <w:rPr>
          <w:rFonts w:eastAsia="Arial"/>
          <w:color w:val="000000"/>
          <w:sz w:val="21"/>
          <w:lang w:eastAsia="en-US"/>
        </w:rPr>
        <w:t xml:space="preserve">ringerer Wertigkeit für den Naturhaushalt (WST I, WST II) überbaut und der Boden </w:t>
      </w:r>
      <w:r w:rsidR="002C5074">
        <w:rPr>
          <w:rFonts w:eastAsia="Arial"/>
          <w:color w:val="000000"/>
          <w:sz w:val="21"/>
          <w:lang w:eastAsia="en-US"/>
        </w:rPr>
        <w:t>in diesen Bereichen versiegelt.</w:t>
      </w:r>
    </w:p>
    <w:p w:rsidR="002C5074" w:rsidRDefault="002C5074" w:rsidP="00F758B8">
      <w:pPr>
        <w:jc w:val="both"/>
        <w:rPr>
          <w:rFonts w:eastAsia="Arial"/>
          <w:color w:val="000000"/>
          <w:sz w:val="21"/>
          <w:lang w:eastAsia="en-US"/>
        </w:rPr>
      </w:pPr>
    </w:p>
    <w:p w:rsidR="002C5074" w:rsidRDefault="00CE07BC" w:rsidP="00F758B8">
      <w:pPr>
        <w:jc w:val="both"/>
        <w:rPr>
          <w:rFonts w:eastAsia="Arial"/>
          <w:color w:val="000000"/>
          <w:sz w:val="21"/>
          <w:lang w:eastAsia="en-US"/>
        </w:rPr>
      </w:pPr>
      <w:r w:rsidRPr="00CE07BC">
        <w:rPr>
          <w:rFonts w:eastAsia="Arial"/>
          <w:color w:val="000000"/>
          <w:sz w:val="21"/>
          <w:lang w:eastAsia="en-US"/>
        </w:rPr>
        <w:t>Die erheblichen Beeinträchtigungen des Schutzgutes „Boden" werden im gleichen Naturraum in gleicher Flächengröße als Grünlandextensivierung kompensiert.</w:t>
      </w:r>
      <w:r>
        <w:rPr>
          <w:rFonts w:eastAsia="Arial"/>
          <w:color w:val="000000"/>
          <w:sz w:val="21"/>
          <w:lang w:eastAsia="en-US"/>
        </w:rPr>
        <w:t xml:space="preserve"> </w:t>
      </w:r>
      <w:r w:rsidRPr="00CE07BC">
        <w:rPr>
          <w:rFonts w:eastAsia="Arial"/>
          <w:color w:val="000000"/>
          <w:sz w:val="21"/>
          <w:lang w:eastAsia="en-US"/>
        </w:rPr>
        <w:t>Schutzgebiete sind nicht betroffen. Die Auswirkungen des Bauvorhabens auf weitere Schutzgüter werden als unerheblich eingestuft.</w:t>
      </w:r>
      <w:r>
        <w:rPr>
          <w:rFonts w:eastAsia="Arial"/>
          <w:color w:val="000000"/>
          <w:sz w:val="21"/>
          <w:lang w:eastAsia="en-US"/>
        </w:rPr>
        <w:t xml:space="preserve"> </w:t>
      </w:r>
    </w:p>
    <w:p w:rsidR="002C5074" w:rsidRDefault="002C5074" w:rsidP="00F758B8">
      <w:pPr>
        <w:jc w:val="both"/>
        <w:rPr>
          <w:rFonts w:eastAsia="Arial"/>
          <w:color w:val="000000"/>
          <w:sz w:val="21"/>
          <w:lang w:eastAsia="en-US"/>
        </w:rPr>
      </w:pPr>
    </w:p>
    <w:p w:rsidR="002C5074" w:rsidRDefault="005C731A" w:rsidP="00F758B8">
      <w:pPr>
        <w:jc w:val="both"/>
        <w:rPr>
          <w:rFonts w:eastAsia="Arial"/>
          <w:color w:val="000000"/>
          <w:sz w:val="21"/>
          <w:lang w:eastAsia="en-US"/>
        </w:rPr>
      </w:pPr>
      <w:r w:rsidRPr="007A4EAC">
        <w:rPr>
          <w:rFonts w:eastAsia="Arial"/>
          <w:color w:val="000000"/>
          <w:spacing w:val="1"/>
          <w:sz w:val="21"/>
          <w:lang w:eastAsia="en-US"/>
        </w:rPr>
        <w:t>Es liegen insgesamt keine erheblichen Umweltauswirkungen vor.</w:t>
      </w:r>
    </w:p>
    <w:p w:rsidR="002C5074" w:rsidRDefault="002C5074" w:rsidP="00F758B8">
      <w:pPr>
        <w:jc w:val="both"/>
        <w:rPr>
          <w:rFonts w:eastAsia="Arial"/>
          <w:color w:val="000000"/>
          <w:sz w:val="21"/>
          <w:lang w:eastAsia="en-US"/>
        </w:rPr>
      </w:pPr>
    </w:p>
    <w:p w:rsidR="005C731A" w:rsidRPr="002C5074" w:rsidRDefault="005C731A" w:rsidP="00F758B8">
      <w:pPr>
        <w:jc w:val="both"/>
        <w:rPr>
          <w:rFonts w:eastAsia="Arial"/>
          <w:color w:val="000000"/>
          <w:sz w:val="21"/>
          <w:lang w:eastAsia="en-US"/>
        </w:rPr>
      </w:pPr>
      <w:r w:rsidRPr="007A4EAC">
        <w:rPr>
          <w:rFonts w:eastAsia="Arial"/>
          <w:color w:val="000000"/>
          <w:spacing w:val="1"/>
          <w:sz w:val="21"/>
          <w:lang w:eastAsia="en-US"/>
        </w:rPr>
        <w:t>Diese Bekanntgabe ist gem. § 5 Abs. 3 Satz 1 UVPG nicht selbständig anfechtbar.</w:t>
      </w:r>
    </w:p>
    <w:p w:rsidR="005C731A" w:rsidRPr="007A4EAC" w:rsidRDefault="004A5186" w:rsidP="00F758B8">
      <w:pPr>
        <w:spacing w:line="245" w:lineRule="exact"/>
        <w:textAlignment w:val="baseline"/>
        <w:rPr>
          <w:rFonts w:eastAsia="Arial"/>
          <w:color w:val="000000"/>
          <w:sz w:val="21"/>
          <w:lang w:eastAsia="en-US"/>
        </w:rPr>
      </w:pPr>
      <w:r w:rsidRPr="007A4EAC">
        <w:rPr>
          <w:rFonts w:eastAsia="Arial"/>
          <w:color w:val="000000"/>
          <w:sz w:val="21"/>
          <w:lang w:eastAsia="en-US"/>
        </w:rPr>
        <w:t>Aurich, den 31.07</w:t>
      </w:r>
      <w:r w:rsidR="005C731A" w:rsidRPr="007A4EAC">
        <w:rPr>
          <w:rFonts w:eastAsia="Arial"/>
          <w:color w:val="000000"/>
          <w:sz w:val="21"/>
          <w:lang w:eastAsia="en-US"/>
        </w:rPr>
        <w:t xml:space="preserve">.2020 </w:t>
      </w:r>
      <w:r w:rsidR="005C731A" w:rsidRPr="007A4EAC">
        <w:rPr>
          <w:rFonts w:eastAsia="Arial"/>
          <w:color w:val="000000"/>
          <w:sz w:val="21"/>
          <w:lang w:eastAsia="en-US"/>
        </w:rPr>
        <w:br/>
        <w:t>Landkreis Aurich</w:t>
      </w:r>
      <w:r w:rsidR="005C731A" w:rsidRPr="007A4EAC">
        <w:rPr>
          <w:rFonts w:eastAsia="Arial"/>
          <w:color w:val="000000"/>
          <w:sz w:val="21"/>
          <w:lang w:eastAsia="en-US"/>
        </w:rPr>
        <w:br/>
      </w:r>
      <w:r w:rsidR="005C731A" w:rsidRPr="007A4EAC">
        <w:rPr>
          <w:rFonts w:eastAsia="Arial"/>
          <w:b/>
          <w:color w:val="000000"/>
          <w:sz w:val="21"/>
          <w:lang w:eastAsia="en-US"/>
        </w:rPr>
        <w:t>Der Landrat</w:t>
      </w:r>
      <w:r w:rsidR="005C731A" w:rsidRPr="007A4EAC">
        <w:rPr>
          <w:rFonts w:eastAsia="Arial"/>
          <w:color w:val="000000"/>
          <w:sz w:val="21"/>
          <w:lang w:eastAsia="en-US"/>
        </w:rPr>
        <w:t xml:space="preserve"> </w:t>
      </w:r>
      <w:r w:rsidR="005C731A" w:rsidRPr="007A4EAC">
        <w:rPr>
          <w:rFonts w:eastAsia="Arial"/>
          <w:color w:val="000000"/>
          <w:sz w:val="21"/>
          <w:lang w:eastAsia="en-US"/>
        </w:rPr>
        <w:br/>
      </w:r>
    </w:p>
    <w:sectPr w:rsidR="005C731A" w:rsidRPr="007A4E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1A"/>
    <w:rsid w:val="001761B2"/>
    <w:rsid w:val="002C5074"/>
    <w:rsid w:val="00396BC8"/>
    <w:rsid w:val="004A5186"/>
    <w:rsid w:val="005558C1"/>
    <w:rsid w:val="005C731A"/>
    <w:rsid w:val="005F672F"/>
    <w:rsid w:val="00603A22"/>
    <w:rsid w:val="00666481"/>
    <w:rsid w:val="007A4EAC"/>
    <w:rsid w:val="007E6222"/>
    <w:rsid w:val="00801C8A"/>
    <w:rsid w:val="00BB457B"/>
    <w:rsid w:val="00BC7490"/>
    <w:rsid w:val="00CE07BC"/>
    <w:rsid w:val="00D464C4"/>
    <w:rsid w:val="00E53555"/>
    <w:rsid w:val="00F7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731A"/>
    <w:pPr>
      <w:spacing w:after="0" w:line="240" w:lineRule="auto"/>
    </w:pPr>
    <w:rPr>
      <w:rFonts w:eastAsia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1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1B2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731A"/>
    <w:pPr>
      <w:spacing w:after="0" w:line="240" w:lineRule="auto"/>
    </w:pPr>
    <w:rPr>
      <w:rFonts w:eastAsia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1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1B2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Aurich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Harberts, Alwin</dc:creator>
  <cp:lastModifiedBy>Strauch,Christina</cp:lastModifiedBy>
  <cp:revision>2</cp:revision>
  <cp:lastPrinted>2020-08-05T12:00:00Z</cp:lastPrinted>
  <dcterms:created xsi:type="dcterms:W3CDTF">2020-08-05T13:05:00Z</dcterms:created>
  <dcterms:modified xsi:type="dcterms:W3CDTF">2020-08-05T13:05:00Z</dcterms:modified>
</cp:coreProperties>
</file>