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DE7" w:rsidRDefault="00C87DE7" w:rsidP="00D26B03">
      <w:bookmarkStart w:id="0" w:name="_GoBack"/>
      <w:bookmarkEnd w:id="0"/>
    </w:p>
    <w:p w:rsidR="00C87DE7" w:rsidRDefault="00C87DE7" w:rsidP="00C87DE7">
      <w:pPr>
        <w:spacing w:line="360" w:lineRule="auto"/>
        <w:jc w:val="center"/>
      </w:pPr>
      <w:r>
        <w:rPr>
          <w:rStyle w:val="Fett"/>
        </w:rPr>
        <w:t>Feststellung gemäß § 5 UVPG</w:t>
      </w:r>
      <w:r>
        <w:rPr>
          <w:b/>
          <w:bCs/>
        </w:rPr>
        <w:br/>
      </w:r>
      <w:r>
        <w:rPr>
          <w:rStyle w:val="Fett"/>
        </w:rPr>
        <w:t xml:space="preserve">Fahrzeugwerk Bernard Krone </w:t>
      </w:r>
      <w:proofErr w:type="spellStart"/>
      <w:r>
        <w:rPr>
          <w:rStyle w:val="Fett"/>
        </w:rPr>
        <w:t>Werlte</w:t>
      </w:r>
      <w:proofErr w:type="spellEnd"/>
      <w:r>
        <w:rPr>
          <w:rStyle w:val="Fett"/>
        </w:rPr>
        <w:t xml:space="preserve"> </w:t>
      </w:r>
      <w:r>
        <w:rPr>
          <w:b/>
          <w:bCs/>
        </w:rPr>
        <w:br/>
      </w:r>
      <w:r>
        <w:rPr>
          <w:b/>
          <w:bCs/>
        </w:rPr>
        <w:br/>
      </w:r>
      <w:r>
        <w:rPr>
          <w:rStyle w:val="Fett"/>
        </w:rPr>
        <w:t>GAA v. 03.2.2020 ― OL 19-166-03 ―</w:t>
      </w:r>
    </w:p>
    <w:p w:rsidR="00C87DE7" w:rsidRDefault="00C87DE7" w:rsidP="00C87DE7">
      <w:pPr>
        <w:spacing w:after="240"/>
      </w:pPr>
    </w:p>
    <w:p w:rsidR="00C87DE7" w:rsidRDefault="00C87DE7" w:rsidP="00797708">
      <w:pPr>
        <w:spacing w:after="0" w:line="360" w:lineRule="auto"/>
        <w:jc w:val="both"/>
      </w:pPr>
      <w:r>
        <w:t xml:space="preserve">Die Firma Fahrzeugwerk Bernard Krone, 49757 </w:t>
      </w:r>
      <w:proofErr w:type="spellStart"/>
      <w:r>
        <w:t>Werlte</w:t>
      </w:r>
      <w:proofErr w:type="spellEnd"/>
      <w:r>
        <w:t xml:space="preserve">, Bernard-Krone-Str. 1, hat mit Schreiben vom </w:t>
      </w:r>
      <w:r w:rsidR="00B4205A">
        <w:t>16.09.2019</w:t>
      </w:r>
      <w:r>
        <w:t xml:space="preserve"> </w:t>
      </w:r>
      <w:r w:rsidR="00D017A2">
        <w:t>eine Genehmigung</w:t>
      </w:r>
      <w:r>
        <w:t xml:space="preserve"> die wesentliche Änderung einer Oberflächenbehandlungsanlage (KTL-Anlage mit Vorbehandlung, Pulverbeschichtung), </w:t>
      </w:r>
      <w:r w:rsidR="00B4205A">
        <w:t xml:space="preserve">mit derzeit </w:t>
      </w:r>
      <w:r>
        <w:t>317 m</w:t>
      </w:r>
      <w:r w:rsidRPr="00B4205A">
        <w:rPr>
          <w:vertAlign w:val="superscript"/>
        </w:rPr>
        <w:t>3</w:t>
      </w:r>
      <w:r>
        <w:t xml:space="preserve"> Gesamtinhalt am Standort in 49757 </w:t>
      </w:r>
      <w:proofErr w:type="spellStart"/>
      <w:r>
        <w:t>Werlte</w:t>
      </w:r>
      <w:proofErr w:type="spellEnd"/>
      <w:r>
        <w:t>, Bernard-Krone-Str. 1 Gemarkung</w:t>
      </w:r>
      <w:r w:rsidR="00B4205A">
        <w:t xml:space="preserve"> </w:t>
      </w:r>
      <w:proofErr w:type="spellStart"/>
      <w:r w:rsidR="00B4205A">
        <w:t>Werlte</w:t>
      </w:r>
      <w:proofErr w:type="spellEnd"/>
      <w:r>
        <w:t xml:space="preserve"> , Flur </w:t>
      </w:r>
      <w:r w:rsidR="00B4205A">
        <w:t>007</w:t>
      </w:r>
      <w:r>
        <w:t xml:space="preserve">, Flurstück(e) </w:t>
      </w:r>
      <w:r w:rsidR="00B4205A">
        <w:t>101/24, 101/37, 101/60, 101/30, 101/233, 101/207</w:t>
      </w:r>
      <w:r>
        <w:t xml:space="preserve"> beantragt.</w:t>
      </w:r>
      <w:r w:rsidR="00D017A2">
        <w:t xml:space="preserve"> Im Rahmen des Änderungsgenehmigungsverfahrens wurde gemäß §§ 5, 9 Absatz 4 eine allgemeine Vorprüfung des Einzelfalls durchgeführt.</w:t>
      </w:r>
    </w:p>
    <w:p w:rsidR="00D017A2" w:rsidRDefault="00D017A2" w:rsidP="00B4205A">
      <w:pPr>
        <w:tabs>
          <w:tab w:val="clear" w:pos="567"/>
          <w:tab w:val="clear" w:pos="1134"/>
        </w:tabs>
        <w:spacing w:after="0"/>
      </w:pPr>
    </w:p>
    <w:p w:rsidR="00C87DE7" w:rsidRDefault="00C87DE7" w:rsidP="00D017A2">
      <w:pPr>
        <w:spacing w:after="0" w:line="360" w:lineRule="auto"/>
        <w:jc w:val="both"/>
      </w:pPr>
      <w:r>
        <w:t>Gegenstand der wesentlichen Änderung ist:</w:t>
      </w:r>
    </w:p>
    <w:p w:rsidR="00C87DE7" w:rsidRPr="00D017A2" w:rsidRDefault="00C87DE7" w:rsidP="00D017A2">
      <w:pPr>
        <w:spacing w:after="0" w:line="360" w:lineRule="auto"/>
        <w:jc w:val="both"/>
      </w:pPr>
      <w:r>
        <w:t> </w:t>
      </w:r>
    </w:p>
    <w:p w:rsidR="00D017A2" w:rsidRPr="00D017A2" w:rsidRDefault="00D017A2" w:rsidP="00D017A2">
      <w:pPr>
        <w:pStyle w:val="Listenabsatz"/>
        <w:numPr>
          <w:ilvl w:val="0"/>
          <w:numId w:val="35"/>
        </w:numPr>
        <w:tabs>
          <w:tab w:val="clear" w:pos="567"/>
        </w:tabs>
        <w:spacing w:after="0" w:line="360" w:lineRule="auto"/>
        <w:jc w:val="both"/>
      </w:pPr>
      <w:r w:rsidRPr="00D017A2">
        <w:t xml:space="preserve">Insgesamt wurde das </w:t>
      </w:r>
      <w:proofErr w:type="spellStart"/>
      <w:r w:rsidRPr="00D017A2">
        <w:t>Wirkbadvoluemen</w:t>
      </w:r>
      <w:proofErr w:type="spellEnd"/>
      <w:r w:rsidRPr="00D017A2">
        <w:t xml:space="preserve"> von 317 m³ auf 322 m³ erhöht. </w:t>
      </w:r>
    </w:p>
    <w:p w:rsidR="00D017A2" w:rsidRPr="00D017A2" w:rsidRDefault="00D017A2" w:rsidP="00D017A2">
      <w:pPr>
        <w:pStyle w:val="Listenabsatz"/>
        <w:numPr>
          <w:ilvl w:val="0"/>
          <w:numId w:val="35"/>
        </w:numPr>
        <w:tabs>
          <w:tab w:val="clear" w:pos="567"/>
        </w:tabs>
        <w:spacing w:after="0" w:line="360" w:lineRule="auto"/>
        <w:jc w:val="both"/>
      </w:pPr>
      <w:r w:rsidRPr="00D017A2">
        <w:t>Das Wirkbadvolumen wurde in der Vorbehandlung und im KTL-Bereich geändert.</w:t>
      </w:r>
    </w:p>
    <w:p w:rsidR="004A0AFE" w:rsidRPr="00D017A2" w:rsidRDefault="004A0AFE" w:rsidP="00D017A2">
      <w:pPr>
        <w:pStyle w:val="Listenabsatz"/>
        <w:numPr>
          <w:ilvl w:val="0"/>
          <w:numId w:val="35"/>
        </w:numPr>
        <w:tabs>
          <w:tab w:val="clear" w:pos="567"/>
        </w:tabs>
        <w:spacing w:after="0" w:line="360" w:lineRule="auto"/>
        <w:jc w:val="both"/>
      </w:pPr>
      <w:r w:rsidRPr="00D017A2">
        <w:t>Entfall des geplanten BHKW-Raumes. Das BHKW verbleibt an dem vor dem 12.05.2017 genehmigtem Ort bestehen.</w:t>
      </w:r>
    </w:p>
    <w:p w:rsidR="004A0AFE" w:rsidRPr="00D017A2" w:rsidRDefault="004A0AFE" w:rsidP="00D017A2">
      <w:pPr>
        <w:pStyle w:val="Listenabsatz"/>
        <w:numPr>
          <w:ilvl w:val="0"/>
          <w:numId w:val="35"/>
        </w:numPr>
        <w:tabs>
          <w:tab w:val="clear" w:pos="567"/>
        </w:tabs>
        <w:spacing w:after="0" w:line="360" w:lineRule="auto"/>
        <w:jc w:val="both"/>
      </w:pPr>
      <w:r w:rsidRPr="00D017A2">
        <w:t>Errichtung Notstromaggregat auf dem Technikgebäude innerhalb der neuen Produktionshalle.</w:t>
      </w:r>
    </w:p>
    <w:p w:rsidR="004A0AFE" w:rsidRPr="00D017A2" w:rsidRDefault="004A0AFE" w:rsidP="00D017A2">
      <w:pPr>
        <w:pStyle w:val="Listenabsatz"/>
        <w:numPr>
          <w:ilvl w:val="0"/>
          <w:numId w:val="35"/>
        </w:numPr>
        <w:tabs>
          <w:tab w:val="clear" w:pos="567"/>
        </w:tabs>
        <w:spacing w:after="0" w:line="360" w:lineRule="auto"/>
        <w:jc w:val="both"/>
      </w:pPr>
      <w:r w:rsidRPr="00D017A2">
        <w:t>Die räumliche Anordnung des Technikgebäudes, der Chemikalienlagerung und der Abwasserbehandlungsanlage wurden getauscht.</w:t>
      </w:r>
    </w:p>
    <w:p w:rsidR="004A0AFE" w:rsidRPr="00D017A2" w:rsidRDefault="004A0AFE" w:rsidP="00D017A2">
      <w:pPr>
        <w:pStyle w:val="Listenabsatz"/>
        <w:numPr>
          <w:ilvl w:val="0"/>
          <w:numId w:val="35"/>
        </w:numPr>
        <w:tabs>
          <w:tab w:val="clear" w:pos="567"/>
        </w:tabs>
        <w:spacing w:after="0" w:line="360" w:lineRule="auto"/>
        <w:jc w:val="both"/>
      </w:pPr>
      <w:r w:rsidRPr="00D017A2">
        <w:t>Es hat eine Verdopplung der Anzahl der Gegenbehälter der Vorbehandlung bei nahezu unverändertem Gesamtvolumen stattgefunden.</w:t>
      </w:r>
    </w:p>
    <w:p w:rsidR="004A0AFE" w:rsidRPr="00D017A2" w:rsidRDefault="004A0AFE" w:rsidP="00D017A2">
      <w:pPr>
        <w:pStyle w:val="Listenabsatz"/>
        <w:numPr>
          <w:ilvl w:val="0"/>
          <w:numId w:val="35"/>
        </w:numPr>
        <w:tabs>
          <w:tab w:val="clear" w:pos="567"/>
        </w:tabs>
        <w:spacing w:after="0" w:line="360" w:lineRule="auto"/>
        <w:jc w:val="both"/>
      </w:pPr>
      <w:r w:rsidRPr="00D017A2">
        <w:t>Die Abwasserbehandlungsanlage wurde angepasst.</w:t>
      </w:r>
    </w:p>
    <w:p w:rsidR="004A0AFE" w:rsidRPr="00D017A2" w:rsidRDefault="004A0AFE" w:rsidP="00D017A2">
      <w:pPr>
        <w:pStyle w:val="Listenabsatz"/>
        <w:numPr>
          <w:ilvl w:val="0"/>
          <w:numId w:val="35"/>
        </w:numPr>
        <w:tabs>
          <w:tab w:val="clear" w:pos="567"/>
        </w:tabs>
        <w:spacing w:after="0" w:line="360" w:lineRule="auto"/>
        <w:jc w:val="both"/>
      </w:pPr>
      <w:r w:rsidRPr="00D017A2">
        <w:t>Mehrere Abluftführungen wurden angepasst.</w:t>
      </w:r>
    </w:p>
    <w:p w:rsidR="004A0AFE" w:rsidRPr="00D017A2" w:rsidRDefault="004A0AFE" w:rsidP="00D017A2">
      <w:pPr>
        <w:pStyle w:val="Listenabsatz"/>
        <w:numPr>
          <w:ilvl w:val="0"/>
          <w:numId w:val="35"/>
        </w:numPr>
        <w:tabs>
          <w:tab w:val="clear" w:pos="567"/>
        </w:tabs>
        <w:spacing w:after="0" w:line="360" w:lineRule="auto"/>
        <w:jc w:val="both"/>
      </w:pPr>
      <w:r w:rsidRPr="00D017A2">
        <w:t>Die Abluft der Pulveröfen wird anstelle einer Abluftöffnung über 2 Abluftöffnungen mit je 5 Rohrbündeln über Dach abgeleitet.</w:t>
      </w:r>
    </w:p>
    <w:p w:rsidR="004A0AFE" w:rsidRPr="00D017A2" w:rsidRDefault="004A0AFE" w:rsidP="00D017A2">
      <w:pPr>
        <w:pStyle w:val="Listenabsatz"/>
        <w:numPr>
          <w:ilvl w:val="0"/>
          <w:numId w:val="35"/>
        </w:numPr>
        <w:tabs>
          <w:tab w:val="clear" w:pos="567"/>
        </w:tabs>
        <w:spacing w:after="0" w:line="360" w:lineRule="auto"/>
        <w:jc w:val="both"/>
      </w:pPr>
      <w:r w:rsidRPr="00D017A2">
        <w:t>Die Höhe der Abluftöffnung der Strahlanlage wurde von 23,6 m auf 19 m verringert.</w:t>
      </w:r>
    </w:p>
    <w:p w:rsidR="004A0AFE" w:rsidRPr="00D017A2" w:rsidRDefault="004A0AFE" w:rsidP="00D017A2">
      <w:pPr>
        <w:pStyle w:val="Listenabsatz"/>
        <w:numPr>
          <w:ilvl w:val="0"/>
          <w:numId w:val="35"/>
        </w:numPr>
        <w:tabs>
          <w:tab w:val="clear" w:pos="567"/>
        </w:tabs>
        <w:spacing w:after="0" w:line="360" w:lineRule="auto"/>
        <w:jc w:val="both"/>
      </w:pPr>
      <w:r w:rsidRPr="00D017A2">
        <w:t xml:space="preserve">Die Abluftführung der Esse und der </w:t>
      </w:r>
      <w:proofErr w:type="spellStart"/>
      <w:r w:rsidRPr="00D017A2">
        <w:t>Kühlzone</w:t>
      </w:r>
      <w:proofErr w:type="spellEnd"/>
      <w:r w:rsidRPr="00D017A2">
        <w:t xml:space="preserve"> wurden getrennt und die Höhe der Austrittsöffnung von 23,6 m auf 18 m verringert.</w:t>
      </w:r>
    </w:p>
    <w:p w:rsidR="004A0AFE" w:rsidRPr="00D017A2" w:rsidRDefault="004A0AFE" w:rsidP="00D017A2">
      <w:pPr>
        <w:pStyle w:val="Listenabsatz"/>
        <w:numPr>
          <w:ilvl w:val="0"/>
          <w:numId w:val="35"/>
        </w:numPr>
        <w:tabs>
          <w:tab w:val="clear" w:pos="567"/>
        </w:tabs>
        <w:spacing w:after="0" w:line="360" w:lineRule="auto"/>
        <w:jc w:val="both"/>
      </w:pPr>
      <w:r w:rsidRPr="00D017A2">
        <w:t>Die Örtlichkeit der Abfallsammelstelle wurde geändert.</w:t>
      </w:r>
    </w:p>
    <w:p w:rsidR="004A0AFE" w:rsidRDefault="004A0AFE" w:rsidP="004A0AFE">
      <w:pPr>
        <w:pStyle w:val="Listenabsatz"/>
        <w:spacing w:after="0"/>
        <w:ind w:left="1134"/>
        <w:jc w:val="both"/>
      </w:pPr>
    </w:p>
    <w:p w:rsidR="00C87DE7" w:rsidRDefault="00C87DE7" w:rsidP="00797708">
      <w:pPr>
        <w:tabs>
          <w:tab w:val="clear" w:pos="567"/>
          <w:tab w:val="clear" w:pos="1134"/>
        </w:tabs>
        <w:spacing w:after="0" w:line="360" w:lineRule="auto"/>
        <w:jc w:val="both"/>
      </w:pPr>
      <w:r>
        <w:t>Im Rahmen dieses Genehmigungsverfahrens ist gemäß §§ 5,9 Abs.</w:t>
      </w:r>
      <w:r w:rsidR="00EA3424">
        <w:t>4</w:t>
      </w:r>
      <w:r>
        <w:t xml:space="preserve"> UVPG i. V. m. Nr. 3.9.1 </w:t>
      </w:r>
      <w:r w:rsidR="00D017A2">
        <w:t>–</w:t>
      </w:r>
      <w:r>
        <w:t xml:space="preserve"> </w:t>
      </w:r>
      <w:r w:rsidR="00D017A2">
        <w:t>für die Änderung der</w:t>
      </w:r>
      <w:r>
        <w:t xml:space="preserve"> Anlage zur Oberflächenbehandlung von Metallen durch ein elektrolytisches </w:t>
      </w:r>
      <w:r>
        <w:lastRenderedPageBreak/>
        <w:t>oder chemisches Verfahren mit einem Volumen der</w:t>
      </w:r>
      <w:r w:rsidR="00D017A2">
        <w:t xml:space="preserve"> Wirkbäder von 30 m3 oder mehr gemäß </w:t>
      </w:r>
      <w:proofErr w:type="gramStart"/>
      <w:r w:rsidR="00D017A2">
        <w:t xml:space="preserve">Ziffer </w:t>
      </w:r>
      <w:r>
        <w:t xml:space="preserve"> 3.9.1</w:t>
      </w:r>
      <w:proofErr w:type="gramEnd"/>
      <w:r>
        <w:t xml:space="preserve"> der Anlage 1 UVPG durch eine Vorprüfung des Einzelfalls zu ermitteln, ob für das beantragte Vorhaben eine Pflicht zur Durchführung einer Umweltverträglichkeitsprüfung (UVP-Pflicht) besteht. </w:t>
      </w:r>
    </w:p>
    <w:p w:rsidR="00C87DE7" w:rsidRDefault="00C87DE7" w:rsidP="00797708">
      <w:pPr>
        <w:tabs>
          <w:tab w:val="clear" w:pos="567"/>
          <w:tab w:val="clear" w:pos="1134"/>
        </w:tabs>
        <w:spacing w:after="0" w:line="360" w:lineRule="auto"/>
        <w:jc w:val="both"/>
      </w:pPr>
      <w:r>
        <w:t xml:space="preserve">Die Vorprüfung hat ergeben, dass für das Vorhaben </w:t>
      </w:r>
      <w:r w:rsidR="00FB0268">
        <w:t>k</w:t>
      </w:r>
      <w:r>
        <w:t>eine UVP</w:t>
      </w:r>
      <w:r w:rsidR="00482554">
        <w:t>-</w:t>
      </w:r>
      <w:r>
        <w:t xml:space="preserve">Pflicht besteht. </w:t>
      </w:r>
    </w:p>
    <w:p w:rsidR="00C87DE7" w:rsidRDefault="00C87DE7" w:rsidP="00C87DE7">
      <w:pPr>
        <w:spacing w:after="240"/>
      </w:pPr>
    </w:p>
    <w:p w:rsidR="00C87DE7" w:rsidRDefault="00C87DE7" w:rsidP="00C87DE7">
      <w:pPr>
        <w:spacing w:after="0"/>
        <w:ind w:firstLine="367"/>
      </w:pPr>
      <w:r>
        <w:rPr>
          <w:rStyle w:val="Fett"/>
        </w:rPr>
        <w:t>Begründung:</w:t>
      </w:r>
    </w:p>
    <w:p w:rsidR="00C87DE7" w:rsidRDefault="00C87DE7" w:rsidP="00C87DE7">
      <w:pPr>
        <w:spacing w:after="240"/>
      </w:pPr>
    </w:p>
    <w:p w:rsidR="00FC1E25" w:rsidRDefault="00FC1E25" w:rsidP="00D017A2">
      <w:pPr>
        <w:tabs>
          <w:tab w:val="clear" w:pos="567"/>
          <w:tab w:val="clear" w:pos="1134"/>
        </w:tabs>
        <w:spacing w:after="0" w:line="360" w:lineRule="auto"/>
        <w:jc w:val="both"/>
      </w:pPr>
      <w:r w:rsidRPr="00FC1E25">
        <w:t>Die Lärmsituation für den Gesamtbetrieb Fahrzeugwerk Bernard Krone wurde für das Ursprungsvorhaben gutachterlich untersucht. Danach hat eine Abnahmemessung entsprechend der Vorgaben der Genehmigung vom 12.05.2017 stattgefunden.</w:t>
      </w:r>
    </w:p>
    <w:p w:rsidR="00FC1E25" w:rsidRPr="00FC1E25" w:rsidRDefault="00FC1E25" w:rsidP="00D017A2">
      <w:pPr>
        <w:tabs>
          <w:tab w:val="clear" w:pos="567"/>
          <w:tab w:val="clear" w:pos="1134"/>
        </w:tabs>
        <w:spacing w:after="0" w:line="360" w:lineRule="auto"/>
        <w:jc w:val="both"/>
      </w:pPr>
      <w:r w:rsidRPr="00FC1E25">
        <w:t xml:space="preserve">Die Abnahmemessung kommt im Hinblick auf das Schutzgut Mensch zu folgenden Ergebnissen: unter Berücksichtigung schalltechnischer Vorgaben werden die einzuhaltenden Immissionszielwerte aus den schalltechnischen Festsetzungen der rechtskräftigen Bebauungspläne Nr. 82 und Nr. 83 der Samtgemeinde </w:t>
      </w:r>
      <w:proofErr w:type="spellStart"/>
      <w:r w:rsidRPr="00FC1E25">
        <w:t>Werlte</w:t>
      </w:r>
      <w:proofErr w:type="spellEnd"/>
      <w:r w:rsidRPr="00FC1E25">
        <w:t xml:space="preserve"> durch den Gesamtbetrieb der Fahrzeugwerk Bernard Krone GmbH &amp; Co. KG an den betrachteten Immissionspunkten in den umgebenden Wohngebieten eingehalten bzw. unterschritten. Unzulässige Spitzenpegel nach TA-Lärm sind durch den geplanten Gesamtbetrieb nicht zu erwarten.</w:t>
      </w:r>
    </w:p>
    <w:p w:rsidR="00FC1E25" w:rsidRPr="00FC1E25" w:rsidRDefault="00FC1E25" w:rsidP="00D017A2">
      <w:pPr>
        <w:tabs>
          <w:tab w:val="clear" w:pos="567"/>
          <w:tab w:val="clear" w:pos="1134"/>
        </w:tabs>
        <w:spacing w:after="0" w:line="360" w:lineRule="auto"/>
        <w:jc w:val="both"/>
      </w:pPr>
      <w:r w:rsidRPr="00FC1E25">
        <w:t>Für die Oberflächenbehandlungsanlage wurde eine Abnahmemessung hinsichtlich der Luftschadstoffe durchgeführt.</w:t>
      </w:r>
    </w:p>
    <w:p w:rsidR="00FC1E25" w:rsidRDefault="00FC1E25" w:rsidP="00D017A2">
      <w:pPr>
        <w:tabs>
          <w:tab w:val="clear" w:pos="567"/>
          <w:tab w:val="clear" w:pos="1134"/>
        </w:tabs>
        <w:spacing w:after="0" w:line="360" w:lineRule="auto"/>
        <w:jc w:val="both"/>
      </w:pPr>
      <w:r w:rsidRPr="00FC1E25">
        <w:t>Diese kommt zusammenfassend zu dem Ergebnis, dass mit den durchgeführten Änderungen der Anlage einschließlich der Abluftreinigungsanlage (TNV) und der Ableitung der relevanten Emissionen über Schornsteine mit geänderten Schornsteinhöhen die Geruchsimmissionssituation gegenüber dem Planzustand nicht erheblich ändert und die Gesamtbelastung an Geruchsimmissionen im Bereich der nächstgelegenen Wohngebiete, so wie in der Genehmigung festgelegt, eingehalten werden.</w:t>
      </w:r>
    </w:p>
    <w:p w:rsidR="00FC1E25" w:rsidRPr="00E74A71" w:rsidRDefault="007A4A94" w:rsidP="00D017A2">
      <w:pPr>
        <w:tabs>
          <w:tab w:val="clear" w:pos="567"/>
          <w:tab w:val="clear" w:pos="1134"/>
        </w:tabs>
        <w:spacing w:after="0" w:line="360" w:lineRule="auto"/>
        <w:jc w:val="both"/>
      </w:pPr>
      <w:r w:rsidRPr="00E74A71">
        <w:t xml:space="preserve">Die Staub- und Luftschadstoffemissionen unterschreiten die Bagatellmassenströme gemäß Nr. 4.6.1.1 der TA Luft auch mit den geänderten Schornsteinhöhen und Abluftvolumenströmen. Eine Immissionsbetrachtung </w:t>
      </w:r>
      <w:r w:rsidR="00E74A71" w:rsidRPr="00E74A71">
        <w:t xml:space="preserve">war und </w:t>
      </w:r>
      <w:r w:rsidRPr="00E74A71">
        <w:t>ist</w:t>
      </w:r>
      <w:r w:rsidR="00E74A71" w:rsidRPr="00E74A71">
        <w:t xml:space="preserve"> nicht erforderlich.</w:t>
      </w:r>
    </w:p>
    <w:p w:rsidR="00E74A71" w:rsidRPr="00FC1E25" w:rsidRDefault="00E74A71" w:rsidP="00D017A2">
      <w:pPr>
        <w:tabs>
          <w:tab w:val="clear" w:pos="567"/>
          <w:tab w:val="clear" w:pos="1134"/>
        </w:tabs>
        <w:spacing w:after="0" w:line="360" w:lineRule="auto"/>
        <w:jc w:val="both"/>
      </w:pPr>
      <w:r w:rsidRPr="00E74A71">
        <w:t>Die Abnahmemessung der Quellen 1 Strahlanlage, 3 TNV und 6 Abluft der Pulvereinbrennöfen vom 12.03.2019 der Zech Umweltanalytik GmbH Nr. LX14424.3/01 bestätigt die Einhaltung der festgelegten Emissionsgrenzwerte der Genehmigung vom 12.05.2017.</w:t>
      </w:r>
    </w:p>
    <w:p w:rsidR="00C15B0A" w:rsidRPr="00393AA2" w:rsidRDefault="00E90A84" w:rsidP="00D017A2">
      <w:pPr>
        <w:tabs>
          <w:tab w:val="clear" w:pos="567"/>
          <w:tab w:val="clear" w:pos="1134"/>
        </w:tabs>
        <w:spacing w:after="0" w:line="360" w:lineRule="auto"/>
        <w:jc w:val="both"/>
      </w:pPr>
      <w:r>
        <w:t>D</w:t>
      </w:r>
      <w:r w:rsidR="00C87DE7">
        <w:t xml:space="preserve">iese Feststellung wird hiermit der Öffentlichkeit bekannt gegeben. Sie ist nicht selbständig anfechtbar. </w:t>
      </w:r>
    </w:p>
    <w:sectPr w:rsidR="00C15B0A" w:rsidRPr="00393AA2" w:rsidSect="00657988">
      <w:headerReference w:type="even" r:id="rId8"/>
      <w:footerReference w:type="default" r:id="rId9"/>
      <w:headerReference w:type="first" r:id="rId10"/>
      <w:footerReference w:type="first" r:id="rId11"/>
      <w:type w:val="continuous"/>
      <w:pgSz w:w="11907" w:h="16840" w:code="9"/>
      <w:pgMar w:top="1418" w:right="1134" w:bottom="1134" w:left="1361" w:header="397" w:footer="2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DE7" w:rsidRDefault="00C87DE7">
      <w:r>
        <w:separator/>
      </w:r>
    </w:p>
  </w:endnote>
  <w:endnote w:type="continuationSeparator" w:id="0">
    <w:p w:rsidR="00C87DE7" w:rsidRDefault="00C8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spacing w:after="0"/>
      <w:jc w:val="right"/>
    </w:pPr>
    <w:r>
      <w:t xml:space="preserve">Seite </w:t>
    </w:r>
    <w:r>
      <w:fldChar w:fldCharType="begin"/>
    </w:r>
    <w:r>
      <w:instrText xml:space="preserve"> PAGE </w:instrText>
    </w:r>
    <w:r>
      <w:fldChar w:fldCharType="separate"/>
    </w:r>
    <w:r w:rsidR="009D704B">
      <w:rPr>
        <w:noProof/>
      </w:rPr>
      <w:t>2</w:t>
    </w:r>
    <w:r>
      <w:fldChar w:fldCharType="end"/>
    </w:r>
    <w:r>
      <w:t xml:space="preserve"> von </w:t>
    </w:r>
    <w:r w:rsidR="000D026D">
      <w:rPr>
        <w:noProof/>
      </w:rPr>
      <w:fldChar w:fldCharType="begin"/>
    </w:r>
    <w:r w:rsidR="000D026D">
      <w:rPr>
        <w:noProof/>
      </w:rPr>
      <w:instrText xml:space="preserve"> NUMPAGES </w:instrText>
    </w:r>
    <w:r w:rsidR="000D026D">
      <w:rPr>
        <w:noProof/>
      </w:rPr>
      <w:fldChar w:fldCharType="separate"/>
    </w:r>
    <w:r w:rsidR="009D704B">
      <w:rPr>
        <w:noProof/>
      </w:rPr>
      <w:t>2</w:t>
    </w:r>
    <w:r w:rsidR="000D026D">
      <w:rPr>
        <w:noProof/>
      </w:rPr>
      <w:fldChar w:fldCharType="end"/>
    </w:r>
  </w:p>
  <w:p w:rsidR="00E124E6" w:rsidRDefault="00E124E6">
    <w:pPr>
      <w:pStyle w:val="Behrde"/>
      <w:jc w:val="right"/>
      <w:rPr>
        <w:b w:val="0"/>
        <w:sz w:val="18"/>
        <w:szCs w:val="18"/>
      </w:rPr>
    </w:pPr>
  </w:p>
  <w:p w:rsidR="00E124E6" w:rsidRDefault="00E124E6">
    <w:pPr>
      <w:pStyle w:val="Behrde"/>
      <w:jc w:val="right"/>
      <w:rPr>
        <w:b w:val="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F4" w:rsidRPr="00C90B4D" w:rsidRDefault="009B5BF4" w:rsidP="00C90B4D">
    <w:pPr>
      <w:pStyle w:val="Fuzeile"/>
      <w:spacing w:after="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DE7" w:rsidRDefault="00C87DE7">
      <w:r>
        <w:separator/>
      </w:r>
    </w:p>
  </w:footnote>
  <w:footnote w:type="continuationSeparator" w:id="0">
    <w:p w:rsidR="00C87DE7" w:rsidRDefault="00C8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E124E6" w:rsidRDefault="00E124E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5F0AAB">
    <w:pPr>
      <w:pStyle w:val="Kopfzeile"/>
      <w:rPr>
        <w:rFonts w:cs="Arial"/>
        <w:sz w:val="2"/>
      </w:rPr>
    </w:pPr>
    <w:r>
      <w:rPr>
        <w:noProof/>
      </w:rPr>
      <mc:AlternateContent>
        <mc:Choice Requires="wps">
          <w:drawing>
            <wp:anchor distT="0" distB="0" distL="114300" distR="114300" simplePos="0" relativeHeight="251657728" behindDoc="0" locked="1" layoutInCell="1" allowOverlap="1" wp14:anchorId="74BAD7C1" wp14:editId="3EF3FE06">
              <wp:simplePos x="0" y="0"/>
              <wp:positionH relativeFrom="page">
                <wp:posOffset>195580</wp:posOffset>
              </wp:positionH>
              <wp:positionV relativeFrom="page">
                <wp:posOffset>3716655</wp:posOffset>
              </wp:positionV>
              <wp:extent cx="179705"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B65A5"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4pt,292.65pt" to="29.55pt,2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GGEgIAACc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">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F1B"/>
    <w:multiLevelType w:val="hybridMultilevel"/>
    <w:tmpl w:val="52C0F688"/>
    <w:lvl w:ilvl="0" w:tplc="BDA62170">
      <w:start w:val="1"/>
      <w:numFmt w:val="decimal"/>
      <w:pStyle w:val="Num1"/>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AA478C6"/>
    <w:multiLevelType w:val="hybridMultilevel"/>
    <w:tmpl w:val="45EE2B1E"/>
    <w:lvl w:ilvl="0" w:tplc="43D4AE3E">
      <w:start w:val="1"/>
      <w:numFmt w:val="decimal"/>
      <w:pStyle w:val="Num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0F84094"/>
    <w:multiLevelType w:val="hybridMultilevel"/>
    <w:tmpl w:val="0AA232AC"/>
    <w:lvl w:ilvl="0" w:tplc="F77299C8">
      <w:start w:val="1"/>
      <w:numFmt w:val="decimal"/>
      <w:lvlText w:val="%1."/>
      <w:lvlJc w:val="left"/>
      <w:pPr>
        <w:tabs>
          <w:tab w:val="num" w:pos="1134"/>
        </w:tabs>
        <w:ind w:left="1134" w:hanging="567"/>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 w15:restartNumberingAfterBreak="0">
    <w:nsid w:val="173911AB"/>
    <w:multiLevelType w:val="multilevel"/>
    <w:tmpl w:val="859ACC8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88E2596"/>
    <w:multiLevelType w:val="multilevel"/>
    <w:tmpl w:val="DE50559E"/>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5B7962"/>
    <w:multiLevelType w:val="hybridMultilevel"/>
    <w:tmpl w:val="BF664448"/>
    <w:lvl w:ilvl="0" w:tplc="99AE0D84">
      <w:start w:val="1"/>
      <w:numFmt w:val="decimal"/>
      <w:lvlText w:val="%1."/>
      <w:lvlJc w:val="left"/>
      <w:pPr>
        <w:tabs>
          <w:tab w:val="num" w:pos="567"/>
        </w:tabs>
        <w:ind w:left="567" w:hanging="567"/>
      </w:pPr>
      <w:rPr>
        <w:rFonts w:hint="default"/>
      </w:rPr>
    </w:lvl>
    <w:lvl w:ilvl="1" w:tplc="746E2A76">
      <w:start w:val="1"/>
      <w:numFmt w:val="decimal"/>
      <w:lvlText w:val="%2."/>
      <w:lvlJc w:val="left"/>
      <w:pPr>
        <w:tabs>
          <w:tab w:val="num" w:pos="567"/>
        </w:tabs>
        <w:ind w:left="567" w:hanging="567"/>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1928FC"/>
    <w:multiLevelType w:val="multilevel"/>
    <w:tmpl w:val="87F42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C71705"/>
    <w:multiLevelType w:val="multilevel"/>
    <w:tmpl w:val="76503E60"/>
    <w:lvl w:ilvl="0">
      <w:start w:val="1"/>
      <w:numFmt w:val="decimal"/>
      <w:isLg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1"/>
      <w:lvlText w:val="%1."/>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27303FB"/>
    <w:multiLevelType w:val="hybridMultilevel"/>
    <w:tmpl w:val="E3F23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06355"/>
    <w:multiLevelType w:val="multilevel"/>
    <w:tmpl w:val="68D64FD2"/>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4635663"/>
    <w:multiLevelType w:val="multilevel"/>
    <w:tmpl w:val="4F2A6074"/>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51A3F33"/>
    <w:multiLevelType w:val="hybridMultilevel"/>
    <w:tmpl w:val="8FB22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506725"/>
    <w:multiLevelType w:val="hybridMultilevel"/>
    <w:tmpl w:val="00FCFA82"/>
    <w:lvl w:ilvl="0" w:tplc="DB3054E4">
      <w:start w:val="1"/>
      <w:numFmt w:val="bullet"/>
      <w:pStyle w:val="Liste1"/>
      <w:lvlText w:val=""/>
      <w:lvlJc w:val="left"/>
      <w:pPr>
        <w:tabs>
          <w:tab w:val="num" w:pos="567"/>
        </w:tabs>
        <w:ind w:left="567" w:hanging="567"/>
      </w:pPr>
      <w:rPr>
        <w:rFonts w:ascii="Symbol" w:hAnsi="Symbol" w:cs="Times New Roman" w:hint="default"/>
        <w:color w:val="auto"/>
      </w:rPr>
    </w:lvl>
    <w:lvl w:ilvl="1" w:tplc="04070019">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3" w15:restartNumberingAfterBreak="0">
    <w:nsid w:val="4D125F42"/>
    <w:multiLevelType w:val="multilevel"/>
    <w:tmpl w:val="3CA286F4"/>
    <w:lvl w:ilvl="0">
      <w:start w:val="1"/>
      <w:numFmt w:val="decimal"/>
      <w:pStyle w:val="berschrift1"/>
      <w:lvlText w:val="%1"/>
      <w:lvlJc w:val="left"/>
      <w:pPr>
        <w:tabs>
          <w:tab w:val="num" w:pos="567"/>
        </w:tabs>
        <w:ind w:left="567" w:hanging="567"/>
      </w:pPr>
      <w:rPr>
        <w:rFonts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4E64210F"/>
    <w:multiLevelType w:val="hybridMultilevel"/>
    <w:tmpl w:val="3236D32A"/>
    <w:lvl w:ilvl="0" w:tplc="21D44A84">
      <w:start w:val="1"/>
      <w:numFmt w:val="bullet"/>
      <w:pStyle w:val="Liste2"/>
      <w:lvlText w:val=""/>
      <w:lvlJc w:val="left"/>
      <w:pPr>
        <w:tabs>
          <w:tab w:val="num" w:pos="1134"/>
        </w:tabs>
        <w:ind w:left="1134" w:hanging="567"/>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6F479C"/>
    <w:multiLevelType w:val="multilevel"/>
    <w:tmpl w:val="FFB209C6"/>
    <w:lvl w:ilvl="0">
      <w:start w:val="1"/>
      <w:numFmt w:val="decima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0842219"/>
    <w:multiLevelType w:val="multilevel"/>
    <w:tmpl w:val="ECBA37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42B403D"/>
    <w:multiLevelType w:val="hybridMultilevel"/>
    <w:tmpl w:val="8A242B7C"/>
    <w:lvl w:ilvl="0" w:tplc="956604CE">
      <w:start w:val="2"/>
      <w:numFmt w:val="decimal"/>
      <w:pStyle w:val="Li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68A38A9"/>
    <w:multiLevelType w:val="hybridMultilevel"/>
    <w:tmpl w:val="BD3670C0"/>
    <w:lvl w:ilvl="0" w:tplc="42BC728C">
      <w:start w:val="1"/>
      <w:numFmt w:val="decimal"/>
      <w:lvlRestart w:val="0"/>
      <w:lvlText w:val="%1."/>
      <w:lvlJc w:val="left"/>
      <w:pPr>
        <w:tabs>
          <w:tab w:val="num" w:pos="397"/>
        </w:tabs>
        <w:ind w:left="397" w:hanging="397"/>
      </w:pPr>
      <w:rPr>
        <w:rFonts w:hint="default"/>
      </w:rPr>
    </w:lvl>
    <w:lvl w:ilvl="1" w:tplc="04070019">
      <w:start w:val="1"/>
      <w:numFmt w:val="bullet"/>
      <w:lvlText w:val=""/>
      <w:lvlJc w:val="left"/>
      <w:pPr>
        <w:tabs>
          <w:tab w:val="num" w:pos="1287"/>
        </w:tabs>
        <w:ind w:left="1287" w:hanging="20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9B07AAA"/>
    <w:multiLevelType w:val="multilevel"/>
    <w:tmpl w:val="F88A6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3"/>
  </w:num>
  <w:num w:numId="3">
    <w:abstractNumId w:val="12"/>
  </w:num>
  <w:num w:numId="4">
    <w:abstractNumId w:val="5"/>
  </w:num>
  <w:num w:numId="5">
    <w:abstractNumId w:val="2"/>
  </w:num>
  <w:num w:numId="6">
    <w:abstractNumId w:val="14"/>
  </w:num>
  <w:num w:numId="7">
    <w:abstractNumId w:val="13"/>
  </w:num>
  <w:num w:numId="8">
    <w:abstractNumId w:val="17"/>
  </w:num>
  <w:num w:numId="9">
    <w:abstractNumId w:val="16"/>
  </w:num>
  <w:num w:numId="10">
    <w:abstractNumId w:val="7"/>
  </w:num>
  <w:num w:numId="11">
    <w:abstractNumId w:val="6"/>
  </w:num>
  <w:num w:numId="12">
    <w:abstractNumId w:val="19"/>
  </w:num>
  <w:num w:numId="13">
    <w:abstractNumId w:val="10"/>
  </w:num>
  <w:num w:numId="14">
    <w:abstractNumId w:val="4"/>
  </w:num>
  <w:num w:numId="15">
    <w:abstractNumId w:val="9"/>
  </w:num>
  <w:num w:numId="16">
    <w:abstractNumId w:val="15"/>
  </w:num>
  <w:num w:numId="17">
    <w:abstractNumId w:val="13"/>
  </w:num>
  <w:num w:numId="18">
    <w:abstractNumId w:val="13"/>
  </w:num>
  <w:num w:numId="19">
    <w:abstractNumId w:val="13"/>
  </w:num>
  <w:num w:numId="20">
    <w:abstractNumId w:val="13"/>
  </w:num>
  <w:num w:numId="21">
    <w:abstractNumId w:val="13"/>
  </w:num>
  <w:num w:numId="22">
    <w:abstractNumId w:val="12"/>
  </w:num>
  <w:num w:numId="23">
    <w:abstractNumId w:val="14"/>
  </w:num>
  <w:num w:numId="24">
    <w:abstractNumId w:val="5"/>
  </w:num>
  <w:num w:numId="25">
    <w:abstractNumId w:val="2"/>
  </w:num>
  <w:num w:numId="26">
    <w:abstractNumId w:val="5"/>
  </w:num>
  <w:num w:numId="27">
    <w:abstractNumId w:val="2"/>
  </w:num>
  <w:num w:numId="28">
    <w:abstractNumId w:val="0"/>
  </w:num>
  <w:num w:numId="29">
    <w:abstractNumId w:val="0"/>
  </w:num>
  <w:num w:numId="30">
    <w:abstractNumId w:val="0"/>
  </w:num>
  <w:num w:numId="31">
    <w:abstractNumId w:val="0"/>
  </w:num>
  <w:num w:numId="32">
    <w:abstractNumId w:val="1"/>
  </w:num>
  <w:num w:numId="33">
    <w:abstractNumId w:val="17"/>
  </w:num>
  <w:num w:numId="34">
    <w:abstractNumId w:val="1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intFractionalCharacterWidth/>
  <w:embedSystemFonts/>
  <w:hideGrammaticalErrors/>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doNotHyphenateCap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E7"/>
    <w:rsid w:val="000231B7"/>
    <w:rsid w:val="00065AB1"/>
    <w:rsid w:val="00070855"/>
    <w:rsid w:val="00095E65"/>
    <w:rsid w:val="000A2947"/>
    <w:rsid w:val="000C5FD3"/>
    <w:rsid w:val="000D026D"/>
    <w:rsid w:val="000D11C1"/>
    <w:rsid w:val="000E4809"/>
    <w:rsid w:val="000E5F63"/>
    <w:rsid w:val="00124DED"/>
    <w:rsid w:val="00134EEE"/>
    <w:rsid w:val="001527C5"/>
    <w:rsid w:val="00155C36"/>
    <w:rsid w:val="0017762F"/>
    <w:rsid w:val="00181CA5"/>
    <w:rsid w:val="00190C7B"/>
    <w:rsid w:val="001A0F35"/>
    <w:rsid w:val="001A6592"/>
    <w:rsid w:val="001A79B6"/>
    <w:rsid w:val="001B0CAF"/>
    <w:rsid w:val="001B206C"/>
    <w:rsid w:val="001C337B"/>
    <w:rsid w:val="001C6181"/>
    <w:rsid w:val="001C62E6"/>
    <w:rsid w:val="001D61DD"/>
    <w:rsid w:val="001E77BF"/>
    <w:rsid w:val="00200105"/>
    <w:rsid w:val="00255B77"/>
    <w:rsid w:val="00267AEA"/>
    <w:rsid w:val="0027343D"/>
    <w:rsid w:val="002760D1"/>
    <w:rsid w:val="0029030C"/>
    <w:rsid w:val="002955CC"/>
    <w:rsid w:val="002B334D"/>
    <w:rsid w:val="002B3A10"/>
    <w:rsid w:val="002C138B"/>
    <w:rsid w:val="002C59BE"/>
    <w:rsid w:val="002D3AF6"/>
    <w:rsid w:val="002E3F85"/>
    <w:rsid w:val="002F7DF2"/>
    <w:rsid w:val="00300C5F"/>
    <w:rsid w:val="003118D6"/>
    <w:rsid w:val="0033463A"/>
    <w:rsid w:val="00347EB0"/>
    <w:rsid w:val="0036133B"/>
    <w:rsid w:val="00371B8C"/>
    <w:rsid w:val="00377BEC"/>
    <w:rsid w:val="00384813"/>
    <w:rsid w:val="0039105C"/>
    <w:rsid w:val="00393AA2"/>
    <w:rsid w:val="003A26F6"/>
    <w:rsid w:val="003A39D3"/>
    <w:rsid w:val="003B14BB"/>
    <w:rsid w:val="003B569F"/>
    <w:rsid w:val="003D4A3A"/>
    <w:rsid w:val="003E7F3A"/>
    <w:rsid w:val="004261BD"/>
    <w:rsid w:val="00426764"/>
    <w:rsid w:val="00427487"/>
    <w:rsid w:val="00447A13"/>
    <w:rsid w:val="00447C49"/>
    <w:rsid w:val="00456060"/>
    <w:rsid w:val="00465539"/>
    <w:rsid w:val="004660A7"/>
    <w:rsid w:val="00475B10"/>
    <w:rsid w:val="00482554"/>
    <w:rsid w:val="0048493A"/>
    <w:rsid w:val="004965F2"/>
    <w:rsid w:val="004A0AFE"/>
    <w:rsid w:val="004A18C1"/>
    <w:rsid w:val="004B1E4D"/>
    <w:rsid w:val="004B2B16"/>
    <w:rsid w:val="004C4DBC"/>
    <w:rsid w:val="004C6284"/>
    <w:rsid w:val="004C7E8B"/>
    <w:rsid w:val="004D76AA"/>
    <w:rsid w:val="004E30A7"/>
    <w:rsid w:val="004F1CEA"/>
    <w:rsid w:val="004F1D23"/>
    <w:rsid w:val="004F4C3F"/>
    <w:rsid w:val="00500A49"/>
    <w:rsid w:val="005109C0"/>
    <w:rsid w:val="00515E9E"/>
    <w:rsid w:val="00520EE3"/>
    <w:rsid w:val="0052411A"/>
    <w:rsid w:val="00525169"/>
    <w:rsid w:val="00532432"/>
    <w:rsid w:val="00547437"/>
    <w:rsid w:val="00563859"/>
    <w:rsid w:val="00570576"/>
    <w:rsid w:val="00572408"/>
    <w:rsid w:val="00576D8C"/>
    <w:rsid w:val="005853E7"/>
    <w:rsid w:val="00587BA4"/>
    <w:rsid w:val="005A24BC"/>
    <w:rsid w:val="005B6619"/>
    <w:rsid w:val="005C3C4A"/>
    <w:rsid w:val="005C5E72"/>
    <w:rsid w:val="005D2171"/>
    <w:rsid w:val="005D2AF8"/>
    <w:rsid w:val="005F0AAB"/>
    <w:rsid w:val="00613F0D"/>
    <w:rsid w:val="0061442F"/>
    <w:rsid w:val="00657988"/>
    <w:rsid w:val="006626D0"/>
    <w:rsid w:val="006630C5"/>
    <w:rsid w:val="006649BB"/>
    <w:rsid w:val="006B2FCA"/>
    <w:rsid w:val="006C2B57"/>
    <w:rsid w:val="006C442C"/>
    <w:rsid w:val="006E030C"/>
    <w:rsid w:val="006E1BBB"/>
    <w:rsid w:val="006F4590"/>
    <w:rsid w:val="00707EED"/>
    <w:rsid w:val="00711A37"/>
    <w:rsid w:val="007146D5"/>
    <w:rsid w:val="007167A1"/>
    <w:rsid w:val="0071755F"/>
    <w:rsid w:val="00737E30"/>
    <w:rsid w:val="00741BBD"/>
    <w:rsid w:val="0074358B"/>
    <w:rsid w:val="00744C9A"/>
    <w:rsid w:val="007503CD"/>
    <w:rsid w:val="00756B0B"/>
    <w:rsid w:val="00771E43"/>
    <w:rsid w:val="00773B56"/>
    <w:rsid w:val="00776821"/>
    <w:rsid w:val="00783D5E"/>
    <w:rsid w:val="00797708"/>
    <w:rsid w:val="007A16B0"/>
    <w:rsid w:val="007A38D3"/>
    <w:rsid w:val="007A4A94"/>
    <w:rsid w:val="007D4449"/>
    <w:rsid w:val="007D6486"/>
    <w:rsid w:val="007E2706"/>
    <w:rsid w:val="00802770"/>
    <w:rsid w:val="0080374C"/>
    <w:rsid w:val="0080750D"/>
    <w:rsid w:val="008102AF"/>
    <w:rsid w:val="00812E9C"/>
    <w:rsid w:val="00812EFC"/>
    <w:rsid w:val="008151E6"/>
    <w:rsid w:val="00816534"/>
    <w:rsid w:val="0082222C"/>
    <w:rsid w:val="00842431"/>
    <w:rsid w:val="00872033"/>
    <w:rsid w:val="008748E0"/>
    <w:rsid w:val="00896F95"/>
    <w:rsid w:val="00897AF3"/>
    <w:rsid w:val="008B0AD4"/>
    <w:rsid w:val="008C2BD1"/>
    <w:rsid w:val="008C38AB"/>
    <w:rsid w:val="008C7BAF"/>
    <w:rsid w:val="008E5C2F"/>
    <w:rsid w:val="008F0C54"/>
    <w:rsid w:val="00914D17"/>
    <w:rsid w:val="009175AC"/>
    <w:rsid w:val="009301BE"/>
    <w:rsid w:val="00930495"/>
    <w:rsid w:val="00931F5B"/>
    <w:rsid w:val="00933DF5"/>
    <w:rsid w:val="00937347"/>
    <w:rsid w:val="00955601"/>
    <w:rsid w:val="00956B18"/>
    <w:rsid w:val="00957FC7"/>
    <w:rsid w:val="00965831"/>
    <w:rsid w:val="0097205D"/>
    <w:rsid w:val="00982478"/>
    <w:rsid w:val="00990E16"/>
    <w:rsid w:val="009966EC"/>
    <w:rsid w:val="009B0060"/>
    <w:rsid w:val="009B5BF4"/>
    <w:rsid w:val="009C164C"/>
    <w:rsid w:val="009C1C5A"/>
    <w:rsid w:val="009C539F"/>
    <w:rsid w:val="009C5EFF"/>
    <w:rsid w:val="009D704B"/>
    <w:rsid w:val="009E0531"/>
    <w:rsid w:val="009E08B7"/>
    <w:rsid w:val="009E65F3"/>
    <w:rsid w:val="00A02070"/>
    <w:rsid w:val="00A05563"/>
    <w:rsid w:val="00A05FAC"/>
    <w:rsid w:val="00A21FCF"/>
    <w:rsid w:val="00A27C2E"/>
    <w:rsid w:val="00A30D8A"/>
    <w:rsid w:val="00A315BA"/>
    <w:rsid w:val="00A318AB"/>
    <w:rsid w:val="00A43F32"/>
    <w:rsid w:val="00A46449"/>
    <w:rsid w:val="00A554DF"/>
    <w:rsid w:val="00A652F9"/>
    <w:rsid w:val="00A77E41"/>
    <w:rsid w:val="00A80040"/>
    <w:rsid w:val="00A80B01"/>
    <w:rsid w:val="00A953CF"/>
    <w:rsid w:val="00A976EB"/>
    <w:rsid w:val="00AA5489"/>
    <w:rsid w:val="00AA587E"/>
    <w:rsid w:val="00AC3BF1"/>
    <w:rsid w:val="00AE19F0"/>
    <w:rsid w:val="00AF4797"/>
    <w:rsid w:val="00B011E3"/>
    <w:rsid w:val="00B0286F"/>
    <w:rsid w:val="00B268A9"/>
    <w:rsid w:val="00B413B7"/>
    <w:rsid w:val="00B4205A"/>
    <w:rsid w:val="00B4327F"/>
    <w:rsid w:val="00B548E0"/>
    <w:rsid w:val="00B54E81"/>
    <w:rsid w:val="00B57E29"/>
    <w:rsid w:val="00B63090"/>
    <w:rsid w:val="00B75F14"/>
    <w:rsid w:val="00B807D9"/>
    <w:rsid w:val="00B92664"/>
    <w:rsid w:val="00B941C4"/>
    <w:rsid w:val="00B94FBD"/>
    <w:rsid w:val="00BB014F"/>
    <w:rsid w:val="00BB4808"/>
    <w:rsid w:val="00BE1ECF"/>
    <w:rsid w:val="00C018D9"/>
    <w:rsid w:val="00C0234F"/>
    <w:rsid w:val="00C15B0A"/>
    <w:rsid w:val="00C3753C"/>
    <w:rsid w:val="00C43019"/>
    <w:rsid w:val="00C51AC1"/>
    <w:rsid w:val="00C56F70"/>
    <w:rsid w:val="00C61C0C"/>
    <w:rsid w:val="00C875C1"/>
    <w:rsid w:val="00C87DE7"/>
    <w:rsid w:val="00C90B4D"/>
    <w:rsid w:val="00CA02F1"/>
    <w:rsid w:val="00CA164F"/>
    <w:rsid w:val="00CC6387"/>
    <w:rsid w:val="00CD3D94"/>
    <w:rsid w:val="00CD6F51"/>
    <w:rsid w:val="00D017A2"/>
    <w:rsid w:val="00D1452D"/>
    <w:rsid w:val="00D16416"/>
    <w:rsid w:val="00D26B03"/>
    <w:rsid w:val="00D33EF8"/>
    <w:rsid w:val="00D3460C"/>
    <w:rsid w:val="00D57627"/>
    <w:rsid w:val="00D65052"/>
    <w:rsid w:val="00D675E4"/>
    <w:rsid w:val="00D77BDA"/>
    <w:rsid w:val="00D904CF"/>
    <w:rsid w:val="00D91A2E"/>
    <w:rsid w:val="00D92282"/>
    <w:rsid w:val="00D97E88"/>
    <w:rsid w:val="00DD6097"/>
    <w:rsid w:val="00E006EB"/>
    <w:rsid w:val="00E041B8"/>
    <w:rsid w:val="00E06C26"/>
    <w:rsid w:val="00E075B2"/>
    <w:rsid w:val="00E07A6E"/>
    <w:rsid w:val="00E124E6"/>
    <w:rsid w:val="00E216AB"/>
    <w:rsid w:val="00E41437"/>
    <w:rsid w:val="00E576A9"/>
    <w:rsid w:val="00E61227"/>
    <w:rsid w:val="00E74A71"/>
    <w:rsid w:val="00E74F69"/>
    <w:rsid w:val="00E81F39"/>
    <w:rsid w:val="00E830FE"/>
    <w:rsid w:val="00E90A84"/>
    <w:rsid w:val="00E91F70"/>
    <w:rsid w:val="00E940FC"/>
    <w:rsid w:val="00EA3424"/>
    <w:rsid w:val="00ED2A57"/>
    <w:rsid w:val="00ED5D1B"/>
    <w:rsid w:val="00EE0AF5"/>
    <w:rsid w:val="00EE26C0"/>
    <w:rsid w:val="00EE775A"/>
    <w:rsid w:val="00EF7B30"/>
    <w:rsid w:val="00F17C69"/>
    <w:rsid w:val="00F423C4"/>
    <w:rsid w:val="00F45863"/>
    <w:rsid w:val="00F51791"/>
    <w:rsid w:val="00F71334"/>
    <w:rsid w:val="00F72E80"/>
    <w:rsid w:val="00FA5AD0"/>
    <w:rsid w:val="00FA7799"/>
    <w:rsid w:val="00FB0268"/>
    <w:rsid w:val="00FB3960"/>
    <w:rsid w:val="00FC09BA"/>
    <w:rsid w:val="00FC0BF5"/>
    <w:rsid w:val="00FC1E25"/>
    <w:rsid w:val="00FD0ACA"/>
    <w:rsid w:val="00FD1B35"/>
    <w:rsid w:val="00FD5C5F"/>
    <w:rsid w:val="00FD62A0"/>
    <w:rsid w:val="00FE3AA5"/>
    <w:rsid w:val="00FF0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876FF3-A9A9-4659-A589-0D66D015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7EED"/>
    <w:pPr>
      <w:tabs>
        <w:tab w:val="left" w:pos="567"/>
        <w:tab w:val="left" w:pos="1134"/>
      </w:tabs>
      <w:spacing w:after="220"/>
    </w:pPr>
    <w:rPr>
      <w:rFonts w:ascii="Arial" w:hAnsi="Arial" w:cs="Arial"/>
      <w:sz w:val="22"/>
      <w:szCs w:val="22"/>
    </w:rPr>
  </w:style>
  <w:style w:type="paragraph" w:styleId="berschrift1">
    <w:name w:val="heading 1"/>
    <w:basedOn w:val="Standard"/>
    <w:next w:val="Standard"/>
    <w:qFormat/>
    <w:rsid w:val="001E77BF"/>
    <w:pPr>
      <w:keepNext/>
      <w:numPr>
        <w:numId w:val="21"/>
      </w:numPr>
      <w:spacing w:after="160"/>
      <w:outlineLvl w:val="0"/>
    </w:pPr>
    <w:rPr>
      <w:b/>
      <w:bCs/>
    </w:rPr>
  </w:style>
  <w:style w:type="paragraph" w:styleId="berschrift2">
    <w:name w:val="heading 2"/>
    <w:basedOn w:val="berschrift1"/>
    <w:next w:val="Standard"/>
    <w:qFormat/>
    <w:rsid w:val="001E77BF"/>
    <w:pPr>
      <w:numPr>
        <w:ilvl w:val="1"/>
      </w:numPr>
      <w:outlineLvl w:val="1"/>
    </w:pPr>
    <w:rPr>
      <w:iCs/>
      <w:szCs w:val="28"/>
    </w:rPr>
  </w:style>
  <w:style w:type="paragraph" w:styleId="berschrift3">
    <w:name w:val="heading 3"/>
    <w:basedOn w:val="berschrift2"/>
    <w:next w:val="Standard"/>
    <w:qFormat/>
    <w:rsid w:val="001E77BF"/>
    <w:pPr>
      <w:numPr>
        <w:ilvl w:val="2"/>
      </w:numPr>
      <w:outlineLvl w:val="2"/>
    </w:pPr>
    <w:rPr>
      <w:rFonts w:cs="Times New Roman"/>
      <w:bCs w:val="0"/>
      <w:szCs w:val="26"/>
    </w:rPr>
  </w:style>
  <w:style w:type="paragraph" w:styleId="berschrift4">
    <w:name w:val="heading 4"/>
    <w:basedOn w:val="berschrift3"/>
    <w:next w:val="Standard"/>
    <w:qFormat/>
    <w:rsid w:val="001E77BF"/>
    <w:pPr>
      <w:numPr>
        <w:ilvl w:val="3"/>
      </w:numPr>
      <w:tabs>
        <w:tab w:val="clear" w:pos="1134"/>
      </w:tabs>
      <w:outlineLvl w:val="3"/>
    </w:pPr>
    <w:rPr>
      <w:b w:val="0"/>
      <w:bCs/>
      <w:szCs w:val="20"/>
    </w:rPr>
  </w:style>
  <w:style w:type="paragraph" w:styleId="berschrift5">
    <w:name w:val="heading 5"/>
    <w:basedOn w:val="berschrift4"/>
    <w:next w:val="Standard"/>
    <w:qFormat/>
    <w:rsid w:val="001E77BF"/>
    <w:pPr>
      <w:numPr>
        <w:ilvl w:val="4"/>
      </w:numPr>
      <w:spacing w:after="0"/>
      <w:outlineLvl w:val="4"/>
    </w:pPr>
    <w:rPr>
      <w:bCs w:val="0"/>
      <w:iCs w:val="0"/>
      <w:szCs w:val="26"/>
    </w:rPr>
  </w:style>
  <w:style w:type="paragraph" w:styleId="berschrift6">
    <w:name w:val="heading 6"/>
    <w:basedOn w:val="Standard"/>
    <w:next w:val="Standard"/>
    <w:qFormat/>
    <w:rsid w:val="001E77BF"/>
    <w:pPr>
      <w:numPr>
        <w:ilvl w:val="5"/>
        <w:numId w:val="21"/>
      </w:numPr>
      <w:tabs>
        <w:tab w:val="clear" w:pos="567"/>
      </w:tabs>
      <w:spacing w:before="240" w:after="60"/>
      <w:outlineLvl w:val="5"/>
    </w:pPr>
    <w:rPr>
      <w:rFonts w:ascii="Times New Roman" w:hAnsi="Times New Roman"/>
      <w:b/>
      <w:bCs/>
    </w:rPr>
  </w:style>
  <w:style w:type="paragraph" w:styleId="berschrift7">
    <w:name w:val="heading 7"/>
    <w:basedOn w:val="Standard"/>
    <w:next w:val="Standard"/>
    <w:qFormat/>
    <w:rsid w:val="001E77BF"/>
    <w:pPr>
      <w:numPr>
        <w:ilvl w:val="6"/>
        <w:numId w:val="21"/>
      </w:numPr>
      <w:tabs>
        <w:tab w:val="clear" w:pos="567"/>
      </w:tabs>
      <w:spacing w:before="240" w:after="60"/>
      <w:outlineLvl w:val="6"/>
    </w:pPr>
    <w:rPr>
      <w:rFonts w:ascii="Times New Roman" w:hAnsi="Times New Roman"/>
      <w:sz w:val="24"/>
      <w:szCs w:val="24"/>
    </w:rPr>
  </w:style>
  <w:style w:type="paragraph" w:styleId="berschrift8">
    <w:name w:val="heading 8"/>
    <w:basedOn w:val="Standard"/>
    <w:next w:val="Standard"/>
    <w:qFormat/>
    <w:rsid w:val="001E77BF"/>
    <w:pPr>
      <w:numPr>
        <w:ilvl w:val="7"/>
        <w:numId w:val="21"/>
      </w:numPr>
      <w:tabs>
        <w:tab w:val="clear" w:pos="56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1E77BF"/>
    <w:pPr>
      <w:numPr>
        <w:ilvl w:val="8"/>
        <w:numId w:val="21"/>
      </w:numPr>
      <w:tabs>
        <w:tab w:val="clear" w:pos="567"/>
      </w:tabs>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tabs>
        <w:tab w:val="center" w:pos="4536"/>
        <w:tab w:val="right" w:pos="9072"/>
      </w:tabs>
    </w:pPr>
    <w:rPr>
      <w:sz w:val="24"/>
      <w:szCs w:val="24"/>
    </w:rPr>
  </w:style>
  <w:style w:type="paragraph" w:styleId="Fuzeile">
    <w:name w:val="footer"/>
    <w:basedOn w:val="Standard"/>
    <w:link w:val="FuzeileZchn"/>
    <w:pPr>
      <w:tabs>
        <w:tab w:val="clear" w:pos="567"/>
        <w:tab w:val="clear" w:pos="1134"/>
        <w:tab w:val="center" w:pos="4536"/>
        <w:tab w:val="right" w:pos="9072"/>
      </w:tabs>
    </w:pPr>
  </w:style>
  <w:style w:type="character" w:styleId="Seitenzahl">
    <w:name w:val="page number"/>
    <w:basedOn w:val="Absatz-Standardschriftart"/>
  </w:style>
  <w:style w:type="paragraph" w:customStyle="1" w:styleId="Logo">
    <w:name w:val="Logo"/>
    <w:basedOn w:val="BriefGAA"/>
    <w:rPr>
      <w:sz w:val="20"/>
    </w:rPr>
  </w:style>
  <w:style w:type="paragraph" w:customStyle="1" w:styleId="BriefGAA">
    <w:name w:val="Brief_GAA"/>
    <w:semiHidden/>
    <w:pPr>
      <w:widowControl w:val="0"/>
    </w:pPr>
    <w:rPr>
      <w:rFonts w:ascii="Arial" w:hAnsi="Arial"/>
      <w:sz w:val="14"/>
      <w:szCs w:val="14"/>
    </w:rPr>
  </w:style>
  <w:style w:type="paragraph" w:customStyle="1" w:styleId="Behrde">
    <w:name w:val="Behörde"/>
    <w:basedOn w:val="BriefGAA"/>
    <w:rPr>
      <w:b/>
      <w:sz w:val="22"/>
    </w:rPr>
  </w:style>
  <w:style w:type="character" w:styleId="Funotenzeichen">
    <w:name w:val="footnote reference"/>
    <w:semiHidden/>
    <w:rPr>
      <w:vertAlign w:val="superscript"/>
    </w:rPr>
  </w:style>
  <w:style w:type="paragraph" w:customStyle="1" w:styleId="Absender">
    <w:name w:val="Absender"/>
    <w:basedOn w:val="BriefGAA"/>
    <w:semiHidden/>
  </w:style>
  <w:style w:type="paragraph" w:customStyle="1" w:styleId="GeschAngabenFett">
    <w:name w:val="GeschAngabenFett"/>
    <w:basedOn w:val="BriefGAA"/>
    <w:rPr>
      <w:b/>
      <w:sz w:val="12"/>
      <w:szCs w:val="12"/>
    </w:rPr>
  </w:style>
  <w:style w:type="paragraph" w:customStyle="1" w:styleId="GeschAngaben">
    <w:name w:val="GeschAngaben"/>
    <w:basedOn w:val="GeschAngabenFett"/>
    <w:pPr>
      <w:tabs>
        <w:tab w:val="left" w:pos="284"/>
      </w:tabs>
    </w:pPr>
    <w:rPr>
      <w:b w:val="0"/>
    </w:rPr>
  </w:style>
  <w:style w:type="paragraph" w:customStyle="1" w:styleId="OrgEinh">
    <w:name w:val="OrgEinh"/>
    <w:basedOn w:val="BriefGAA"/>
    <w:semiHidden/>
    <w:rPr>
      <w:sz w:val="18"/>
      <w:szCs w:val="18"/>
    </w:rPr>
  </w:style>
  <w:style w:type="paragraph" w:customStyle="1" w:styleId="Liste1">
    <w:name w:val="Liste_1"/>
    <w:basedOn w:val="Standard"/>
    <w:rsid w:val="00771E43"/>
    <w:pPr>
      <w:numPr>
        <w:numId w:val="22"/>
      </w:numPr>
    </w:pPr>
    <w:rPr>
      <w:szCs w:val="26"/>
    </w:rPr>
  </w:style>
  <w:style w:type="paragraph" w:styleId="Sprechblasentext">
    <w:name w:val="Balloon Text"/>
    <w:basedOn w:val="Standard"/>
    <w:semiHidden/>
    <w:rPr>
      <w:rFonts w:ascii="Tahoma" w:hAnsi="Tahoma" w:cs="Tahoma"/>
      <w:sz w:val="16"/>
      <w:szCs w:val="16"/>
    </w:rPr>
  </w:style>
  <w:style w:type="paragraph" w:customStyle="1" w:styleId="Einrck1">
    <w:name w:val="Einrück_1"/>
    <w:basedOn w:val="Standard"/>
    <w:pPr>
      <w:ind w:left="1440"/>
    </w:pPr>
    <w:rPr>
      <w:szCs w:val="26"/>
    </w:rPr>
  </w:style>
  <w:style w:type="paragraph" w:customStyle="1" w:styleId="Liste2">
    <w:name w:val="Liste_2"/>
    <w:basedOn w:val="Liste1"/>
    <w:rsid w:val="00771E43"/>
    <w:pPr>
      <w:numPr>
        <w:numId w:val="23"/>
      </w:numPr>
    </w:pPr>
  </w:style>
  <w:style w:type="paragraph" w:customStyle="1" w:styleId="Num1">
    <w:name w:val="Num_1"/>
    <w:basedOn w:val="Standard"/>
    <w:rsid w:val="006F4590"/>
    <w:pPr>
      <w:numPr>
        <w:numId w:val="31"/>
      </w:numPr>
      <w:tabs>
        <w:tab w:val="clear" w:pos="360"/>
      </w:tabs>
      <w:ind w:left="567" w:hanging="567"/>
    </w:pPr>
    <w:rPr>
      <w:szCs w:val="26"/>
    </w:rPr>
  </w:style>
  <w:style w:type="paragraph" w:customStyle="1" w:styleId="Num2">
    <w:name w:val="Num_2"/>
    <w:basedOn w:val="Num1"/>
    <w:rsid w:val="006F4590"/>
    <w:pPr>
      <w:numPr>
        <w:numId w:val="32"/>
      </w:numPr>
      <w:ind w:left="1134"/>
    </w:pPr>
  </w:style>
  <w:style w:type="paragraph" w:customStyle="1" w:styleId="Li2">
    <w:name w:val="Li2"/>
    <w:basedOn w:val="Standard"/>
    <w:semiHidden/>
    <w:rsid w:val="00D675E4"/>
    <w:pPr>
      <w:numPr>
        <w:numId w:val="33"/>
      </w:numPr>
      <w:spacing w:after="0"/>
    </w:pPr>
    <w:rPr>
      <w:vanish/>
    </w:rPr>
  </w:style>
  <w:style w:type="paragraph" w:customStyle="1" w:styleId="Anschriftfeld">
    <w:name w:val="Anschriftfeld"/>
    <w:basedOn w:val="Standard"/>
    <w:semiHidden/>
    <w:pPr>
      <w:spacing w:after="0"/>
    </w:pPr>
    <w:rPr>
      <w:spacing w:val="10"/>
    </w:rPr>
  </w:style>
  <w:style w:type="paragraph" w:customStyle="1" w:styleId="Bezugszeile">
    <w:name w:val="Bezugszeile"/>
    <w:basedOn w:val="Standard"/>
    <w:semiHidden/>
    <w:pPr>
      <w:spacing w:after="0"/>
    </w:pPr>
  </w:style>
  <w:style w:type="paragraph" w:customStyle="1" w:styleId="E-Mail">
    <w:name w:val="E-Mail"/>
    <w:basedOn w:val="Standard"/>
    <w:semiHidden/>
    <w:pPr>
      <w:spacing w:after="0"/>
    </w:pPr>
    <w:rPr>
      <w:sz w:val="18"/>
      <w:szCs w:val="18"/>
    </w:rPr>
  </w:style>
  <w:style w:type="paragraph" w:styleId="HTMLVorformatiert">
    <w:name w:val="HTML Preformatted"/>
    <w:basedOn w:val="Standard"/>
    <w:rsid w:val="00F72E80"/>
    <w:pPr>
      <w:spacing w:after="0"/>
    </w:pPr>
    <w:rPr>
      <w:rFonts w:cs="Courier New"/>
    </w:rPr>
  </w:style>
  <w:style w:type="character" w:customStyle="1" w:styleId="FuzeileZchn">
    <w:name w:val="Fußzeile Zchn"/>
    <w:basedOn w:val="Absatz-Standardschriftart"/>
    <w:link w:val="Fuzeile"/>
    <w:rsid w:val="007167A1"/>
    <w:rPr>
      <w:rFonts w:ascii="Arial" w:hAnsi="Arial" w:cs="Arial"/>
      <w:sz w:val="22"/>
      <w:szCs w:val="22"/>
    </w:rPr>
  </w:style>
  <w:style w:type="paragraph" w:styleId="StandardWeb">
    <w:name w:val="Normal (Web)"/>
    <w:basedOn w:val="Standard"/>
    <w:uiPriority w:val="99"/>
    <w:semiHidden/>
    <w:unhideWhenUsed/>
    <w:rsid w:val="00C87DE7"/>
    <w:pPr>
      <w:tabs>
        <w:tab w:val="clear" w:pos="567"/>
        <w:tab w:val="clear" w:pos="1134"/>
      </w:tabs>
      <w:spacing w:before="100" w:beforeAutospacing="1" w:after="100" w:afterAutospacing="1"/>
    </w:pPr>
    <w:rPr>
      <w:rFonts w:ascii="Times New Roman" w:eastAsiaTheme="minorEastAsia" w:hAnsi="Times New Roman" w:cs="Times New Roman"/>
      <w:sz w:val="24"/>
      <w:szCs w:val="24"/>
    </w:rPr>
  </w:style>
  <w:style w:type="character" w:styleId="Fett">
    <w:name w:val="Strong"/>
    <w:basedOn w:val="Absatz-Standardschriftart"/>
    <w:uiPriority w:val="22"/>
    <w:qFormat/>
    <w:rsid w:val="00C87DE7"/>
    <w:rPr>
      <w:b/>
      <w:bCs/>
    </w:rPr>
  </w:style>
  <w:style w:type="paragraph" w:styleId="Listenabsatz">
    <w:name w:val="List Paragraph"/>
    <w:basedOn w:val="Standard"/>
    <w:uiPriority w:val="34"/>
    <w:qFormat/>
    <w:rsid w:val="004A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brie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C2E2-6249-4220-ADF6-309C1EE6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brief.dotm</Template>
  <TotalTime>0</TotalTime>
  <Pages>2</Pages>
  <Words>536</Words>
  <Characters>3745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Briefkopf für GAV</vt:lpstr>
    </vt:vector>
  </TitlesOfParts>
  <Manager>Vfg Mitzeichnung</Manager>
  <Company>FAKA TextV</Company>
  <LinksUpToDate>false</LinksUpToDate>
  <CharactersWithSpaces>4273</CharactersWithSpaces>
  <SharedDoc>false</SharedDoc>
  <HyperlinkBase>file://T:\BIMSCHGG\EMD024704580\BImSchGG\5090166_2019-OL\Umweltverträglichkeitsprüfung oder Vorprüfung nach UVPG\202002\5090166_2019-OL-5.DOCX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für GAV</dc:title>
  <dc:subject>mit Druckerauswahl</dc:subject>
  <dc:creator>Johannsen, Martina</dc:creator>
  <cp:keywords/>
  <dc:description/>
  <cp:lastModifiedBy>Johannsen, Martina</cp:lastModifiedBy>
  <cp:revision>2</cp:revision>
  <cp:lastPrinted>2011-11-21T16:37:00Z</cp:lastPrinted>
  <dcterms:created xsi:type="dcterms:W3CDTF">2020-02-11T09:08:00Z</dcterms:created>
  <dcterms:modified xsi:type="dcterms:W3CDTF">2020-02-11T09:08:00Z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wGer">
    <vt:lpwstr/>
  </property>
  <property fmtid="{D5CDD505-2E9C-101B-9397-08002B2CF9AE}" pid="3" name="control_flag">
    <vt:lpwstr>0</vt:lpwstr>
  </property>
</Properties>
</file>