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3686"/>
        <w:gridCol w:w="1276"/>
        <w:gridCol w:w="2551"/>
      </w:tblGrid>
      <w:tr w:rsidR="00070BDE" w:rsidRPr="00070BDE" w:rsidTr="00AD3BB7">
        <w:tc>
          <w:tcPr>
            <w:tcW w:w="1672" w:type="dxa"/>
            <w:shd w:val="clear" w:color="auto" w:fill="auto"/>
          </w:tcPr>
          <w:p w:rsidR="00070BDE" w:rsidRPr="00070BDE" w:rsidRDefault="00070BDE" w:rsidP="00070BDE">
            <w:pPr>
              <w:rPr>
                <w:b/>
                <w:noProof/>
              </w:rPr>
            </w:pPr>
            <w:r w:rsidRPr="00070BDE">
              <w:rPr>
                <w:b/>
                <w:noProof/>
              </w:rPr>
              <w:t>Antragsteller:</w:t>
            </w:r>
          </w:p>
        </w:tc>
        <w:tc>
          <w:tcPr>
            <w:tcW w:w="3686" w:type="dxa"/>
            <w:shd w:val="clear" w:color="auto" w:fill="auto"/>
          </w:tcPr>
          <w:p w:rsidR="00070BDE" w:rsidRPr="00070BDE" w:rsidRDefault="001848C5" w:rsidP="003029B2">
            <w:pPr>
              <w:rPr>
                <w:noProof/>
              </w:rPr>
            </w:pPr>
            <w:r w:rsidRPr="001848C5">
              <w:rPr>
                <w:noProof/>
              </w:rPr>
              <w:t>Statkraft Markets GmbH, Derendorfer Allee 2a, 40476 Düsseldorf</w:t>
            </w:r>
          </w:p>
        </w:tc>
        <w:tc>
          <w:tcPr>
            <w:tcW w:w="1276" w:type="dxa"/>
            <w:shd w:val="clear" w:color="auto" w:fill="auto"/>
          </w:tcPr>
          <w:p w:rsidR="00070BDE" w:rsidRPr="00070BDE" w:rsidRDefault="00070BDE" w:rsidP="00070BDE">
            <w:pPr>
              <w:rPr>
                <w:b/>
                <w:noProof/>
                <w:sz w:val="20"/>
                <w:szCs w:val="20"/>
              </w:rPr>
            </w:pPr>
            <w:r w:rsidRPr="00070BDE">
              <w:rPr>
                <w:b/>
                <w:noProof/>
                <w:sz w:val="20"/>
                <w:szCs w:val="20"/>
              </w:rPr>
              <w:t>Akten-</w:t>
            </w:r>
          </w:p>
          <w:p w:rsidR="00070BDE" w:rsidRPr="00070BDE" w:rsidRDefault="00070BDE" w:rsidP="00070BDE">
            <w:pPr>
              <w:rPr>
                <w:b/>
                <w:noProof/>
                <w:sz w:val="20"/>
                <w:szCs w:val="20"/>
              </w:rPr>
            </w:pPr>
            <w:r w:rsidRPr="00070BDE">
              <w:rPr>
                <w:b/>
                <w:noProof/>
                <w:sz w:val="20"/>
                <w:szCs w:val="20"/>
              </w:rPr>
              <w:t>zeichen:</w:t>
            </w:r>
          </w:p>
        </w:tc>
        <w:tc>
          <w:tcPr>
            <w:tcW w:w="2551" w:type="dxa"/>
            <w:shd w:val="clear" w:color="auto" w:fill="auto"/>
          </w:tcPr>
          <w:p w:rsidR="00070BDE" w:rsidRPr="00070BDE" w:rsidRDefault="001E59CD" w:rsidP="001848C5">
            <w:pPr>
              <w:rPr>
                <w:noProof/>
                <w:sz w:val="20"/>
                <w:szCs w:val="20"/>
              </w:rPr>
            </w:pPr>
            <w:r>
              <w:rPr>
                <w:noProof/>
                <w:sz w:val="20"/>
                <w:szCs w:val="20"/>
              </w:rPr>
              <w:t>OL 1</w:t>
            </w:r>
            <w:r w:rsidR="003029B2">
              <w:rPr>
                <w:noProof/>
                <w:sz w:val="20"/>
                <w:szCs w:val="20"/>
              </w:rPr>
              <w:t>9</w:t>
            </w:r>
            <w:r w:rsidR="00A919BE">
              <w:rPr>
                <w:noProof/>
                <w:sz w:val="20"/>
                <w:szCs w:val="20"/>
              </w:rPr>
              <w:t>-</w:t>
            </w:r>
            <w:r w:rsidR="00E74E3A">
              <w:rPr>
                <w:noProof/>
                <w:sz w:val="20"/>
                <w:szCs w:val="20"/>
              </w:rPr>
              <w:t>1</w:t>
            </w:r>
            <w:r w:rsidR="001848C5">
              <w:rPr>
                <w:noProof/>
                <w:sz w:val="20"/>
                <w:szCs w:val="20"/>
              </w:rPr>
              <w:t>76</w:t>
            </w:r>
            <w:r w:rsidR="00A919BE">
              <w:rPr>
                <w:noProof/>
                <w:sz w:val="20"/>
                <w:szCs w:val="20"/>
              </w:rPr>
              <w:t>-01</w:t>
            </w:r>
          </w:p>
        </w:tc>
      </w:tr>
      <w:tr w:rsidR="00070BDE" w:rsidRPr="00070BDE" w:rsidTr="00AD3BB7">
        <w:tc>
          <w:tcPr>
            <w:tcW w:w="1672" w:type="dxa"/>
            <w:shd w:val="clear" w:color="auto" w:fill="auto"/>
          </w:tcPr>
          <w:p w:rsidR="00070BDE" w:rsidRPr="00070BDE" w:rsidRDefault="00070BDE" w:rsidP="00070BDE">
            <w:pPr>
              <w:rPr>
                <w:b/>
                <w:noProof/>
              </w:rPr>
            </w:pPr>
            <w:r w:rsidRPr="00070BDE">
              <w:rPr>
                <w:b/>
                <w:noProof/>
              </w:rPr>
              <w:t>Gegenstand:</w:t>
            </w:r>
          </w:p>
        </w:tc>
        <w:tc>
          <w:tcPr>
            <w:tcW w:w="7513" w:type="dxa"/>
            <w:gridSpan w:val="3"/>
            <w:shd w:val="clear" w:color="auto" w:fill="auto"/>
          </w:tcPr>
          <w:p w:rsidR="005C5F38" w:rsidRPr="00070BDE" w:rsidRDefault="001848C5" w:rsidP="001848C5">
            <w:pPr>
              <w:spacing w:after="120"/>
              <w:rPr>
                <w:noProof/>
              </w:rPr>
            </w:pPr>
            <w:r>
              <w:rPr>
                <w:noProof/>
              </w:rPr>
              <w:t>Wesentliche Änderung des GuD-Kraftwerkes Emden durch die Ausweitung der Betriebszeit der Gasturbine Block 4 von 88 h/a auf 1500 h/a zur Teilnahme am Kapazitätsreservemarkt; während der Teilnahme am Kapazitätsreservemarkt wird der genehmigte Kessel 4 nicht betrieben</w:t>
            </w:r>
          </w:p>
        </w:tc>
      </w:tr>
    </w:tbl>
    <w:p w:rsidR="00070BDE" w:rsidRPr="00070BDE" w:rsidRDefault="00070BDE" w:rsidP="00070BDE">
      <w:pPr>
        <w:rPr>
          <w:b/>
          <w:noProof/>
        </w:rPr>
      </w:pPr>
    </w:p>
    <w:p w:rsidR="00D77419" w:rsidRPr="00D77419" w:rsidRDefault="00D77419" w:rsidP="00D77419">
      <w:pPr>
        <w:rPr>
          <w:b/>
        </w:rPr>
      </w:pPr>
      <w:r w:rsidRPr="00D77419">
        <w:rPr>
          <w:b/>
          <w:u w:val="single"/>
        </w:rPr>
        <w:t>Dokumentation der UVP-Vorprüfung – Bewertung durch die Behörde</w:t>
      </w:r>
    </w:p>
    <w:p w:rsidR="00D77419" w:rsidRPr="00AC24CF" w:rsidRDefault="00D77419" w:rsidP="00D77419">
      <w:pPr>
        <w:rPr>
          <w:b/>
          <w:sz w:val="18"/>
          <w:szCs w:val="18"/>
        </w:rPr>
      </w:pPr>
    </w:p>
    <w:p w:rsidR="00D77419" w:rsidRPr="00AC24CF" w:rsidRDefault="00D77419" w:rsidP="00D77419">
      <w:pPr>
        <w:rPr>
          <w:b/>
          <w:sz w:val="18"/>
          <w:szCs w:val="18"/>
        </w:rPr>
      </w:pPr>
      <w:r w:rsidRPr="00AC24CF">
        <w:rPr>
          <w:b/>
          <w:sz w:val="18"/>
          <w:szCs w:val="18"/>
        </w:rPr>
        <w:tab/>
        <w:t xml:space="preserve"> </w:t>
      </w:r>
      <w:sdt>
        <w:sdtPr>
          <w:rPr>
            <w:b/>
            <w:sz w:val="18"/>
            <w:szCs w:val="18"/>
          </w:rPr>
          <w:id w:val="-1768536230"/>
          <w14:checkbox>
            <w14:checked w14:val="1"/>
            <w14:checkedState w14:val="2612" w14:font="MS Gothic"/>
            <w14:uncheckedState w14:val="2610" w14:font="MS Gothic"/>
          </w14:checkbox>
        </w:sdtPr>
        <w:sdtEndPr/>
        <w:sdtContent>
          <w:r w:rsidR="00E74E3A">
            <w:rPr>
              <w:rFonts w:ascii="MS Gothic" w:eastAsia="MS Gothic" w:hAnsi="MS Gothic" w:hint="eastAsia"/>
              <w:b/>
              <w:sz w:val="18"/>
              <w:szCs w:val="18"/>
            </w:rPr>
            <w:t>☒</w:t>
          </w:r>
        </w:sdtContent>
      </w:sdt>
      <w:r w:rsidRPr="00AC24CF">
        <w:rPr>
          <w:b/>
          <w:sz w:val="18"/>
          <w:szCs w:val="18"/>
        </w:rPr>
        <w:t xml:space="preserve"> Allgemeine Vorprüfung des Einzelfalls</w:t>
      </w:r>
    </w:p>
    <w:p w:rsidR="00D77419" w:rsidRPr="00F1735A" w:rsidRDefault="00D77419" w:rsidP="00F1735A">
      <w:pPr>
        <w:rPr>
          <w:b/>
          <w:sz w:val="18"/>
          <w:szCs w:val="18"/>
        </w:rPr>
      </w:pPr>
      <w:r w:rsidRPr="00AC24CF">
        <w:rPr>
          <w:b/>
          <w:sz w:val="18"/>
          <w:szCs w:val="18"/>
        </w:rPr>
        <w:tab/>
        <w:t xml:space="preserve"> </w:t>
      </w:r>
      <w:sdt>
        <w:sdtPr>
          <w:rPr>
            <w:b/>
            <w:sz w:val="18"/>
            <w:szCs w:val="18"/>
          </w:rPr>
          <w:id w:val="147260295"/>
          <w14:checkbox>
            <w14:checked w14:val="0"/>
            <w14:checkedState w14:val="2612" w14:font="MS Gothic"/>
            <w14:uncheckedState w14:val="2610" w14:font="MS Gothic"/>
          </w14:checkbox>
        </w:sdtPr>
        <w:sdtEndPr/>
        <w:sdtContent>
          <w:r w:rsidR="00E74E3A">
            <w:rPr>
              <w:rFonts w:ascii="MS Gothic" w:eastAsia="MS Gothic" w:hAnsi="MS Gothic" w:hint="eastAsia"/>
              <w:b/>
              <w:sz w:val="18"/>
              <w:szCs w:val="18"/>
            </w:rPr>
            <w:t>☐</w:t>
          </w:r>
        </w:sdtContent>
      </w:sdt>
      <w:r w:rsidRPr="00AC24CF">
        <w:rPr>
          <w:b/>
          <w:sz w:val="18"/>
          <w:szCs w:val="18"/>
        </w:rPr>
        <w:t xml:space="preserve"> Standortbezogene Vorprüfung des Einzelfalls</w:t>
      </w:r>
      <w:r w:rsidR="00E74E3A">
        <w:rPr>
          <w:b/>
          <w:sz w:val="18"/>
          <w:szCs w:val="18"/>
        </w:rPr>
        <w:t xml:space="preserve"> (</w:t>
      </w:r>
      <w:r w:rsidR="00F1735A">
        <w:rPr>
          <w:b/>
          <w:sz w:val="18"/>
          <w:szCs w:val="18"/>
        </w:rPr>
        <w:t>1.1.</w:t>
      </w:r>
      <w:r w:rsidR="00E74E3A">
        <w:rPr>
          <w:b/>
          <w:sz w:val="18"/>
          <w:szCs w:val="18"/>
        </w:rPr>
        <w:t>2</w:t>
      </w:r>
      <w:r w:rsidR="00F1735A">
        <w:rPr>
          <w:b/>
          <w:sz w:val="18"/>
          <w:szCs w:val="18"/>
        </w:rPr>
        <w:t xml:space="preserve"> der </w:t>
      </w:r>
      <w:r w:rsidR="00F1735A" w:rsidRPr="00F1735A">
        <w:rPr>
          <w:b/>
          <w:sz w:val="18"/>
          <w:szCs w:val="18"/>
        </w:rPr>
        <w:t>Anlage 1 zum UVPG</w:t>
      </w:r>
      <w:r w:rsidR="00F1735A">
        <w:rPr>
          <w:b/>
          <w:sz w:val="18"/>
          <w:szCs w:val="18"/>
        </w:rPr>
        <w:t>)</w:t>
      </w:r>
    </w:p>
    <w:p w:rsidR="00D77419" w:rsidRPr="00AC24CF" w:rsidRDefault="00D77419" w:rsidP="00D77419">
      <w:pPr>
        <w:rPr>
          <w:b/>
          <w:sz w:val="18"/>
          <w:szCs w:val="18"/>
        </w:rPr>
      </w:pPr>
    </w:p>
    <w:p w:rsidR="00D77419" w:rsidRPr="00AC24CF" w:rsidRDefault="00D77419" w:rsidP="00D77419">
      <w:pPr>
        <w:rPr>
          <w:sz w:val="18"/>
          <w:szCs w:val="18"/>
        </w:rPr>
      </w:pPr>
      <w:r w:rsidRPr="00AC24CF">
        <w:rPr>
          <w:b/>
          <w:sz w:val="18"/>
          <w:szCs w:val="18"/>
        </w:rPr>
        <w:t>1.</w:t>
      </w:r>
      <w:r w:rsidRPr="00AC24CF">
        <w:rPr>
          <w:b/>
          <w:sz w:val="18"/>
          <w:szCs w:val="18"/>
        </w:rPr>
        <w:tab/>
        <w:t>Prüfergebnisse zu den Formularen 14.3 bis 14.3 b)</w:t>
      </w:r>
      <w:r w:rsidRPr="00AC24CF">
        <w:rPr>
          <w:b/>
          <w:sz w:val="18"/>
          <w:szCs w:val="18"/>
        </w:rPr>
        <w:br/>
      </w:r>
      <w:r w:rsidRPr="00AC24CF">
        <w:rPr>
          <w:sz w:val="18"/>
          <w:szCs w:val="18"/>
        </w:rPr>
        <w:t xml:space="preserve">Die Formulare 14.3, 14.3 a) und 14.3 b) sind dieser Bewertung beigefügt. </w:t>
      </w:r>
      <w:r w:rsidRPr="00AC24CF">
        <w:rPr>
          <w:sz w:val="18"/>
          <w:szCs w:val="18"/>
        </w:rPr>
        <w:br/>
        <w:t xml:space="preserve">Sind die Angaben in den Formularen vollständig und richtig? Ja </w:t>
      </w:r>
      <w:sdt>
        <w:sdtPr>
          <w:rPr>
            <w:sz w:val="18"/>
            <w:szCs w:val="18"/>
          </w:rPr>
          <w:id w:val="-92400861"/>
          <w14:checkbox>
            <w14:checked w14:val="1"/>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AC24CF">
        <w:rPr>
          <w:sz w:val="18"/>
          <w:szCs w:val="18"/>
        </w:rPr>
        <w:t xml:space="preserve"> Nein </w:t>
      </w:r>
      <w:sdt>
        <w:sdtPr>
          <w:rPr>
            <w:sz w:val="18"/>
            <w:szCs w:val="18"/>
          </w:rPr>
          <w:id w:val="-399364094"/>
          <w14:checkbox>
            <w14:checked w14:val="0"/>
            <w14:checkedState w14:val="2612" w14:font="MS Gothic"/>
            <w14:uncheckedState w14:val="2610" w14:font="MS Gothic"/>
          </w14:checkbox>
        </w:sdtPr>
        <w:sdtEndPr/>
        <w:sdtContent>
          <w:r w:rsidRPr="00AC24CF">
            <w:rPr>
              <w:rFonts w:ascii="MS Gothic" w:eastAsia="MS Gothic" w:hAnsi="MS Gothic" w:cs="MS Gothic" w:hint="eastAsia"/>
              <w:sz w:val="18"/>
              <w:szCs w:val="18"/>
            </w:rPr>
            <w:t>☐</w:t>
          </w:r>
        </w:sdtContent>
      </w:sdt>
    </w:p>
    <w:p w:rsidR="00070BDE" w:rsidRDefault="00070BDE" w:rsidP="00070BDE">
      <w:pPr>
        <w:rPr>
          <w:b/>
          <w:noProof/>
        </w:rPr>
      </w:pPr>
    </w:p>
    <w:p w:rsidR="00D77419" w:rsidRPr="00D77419" w:rsidRDefault="00D77419" w:rsidP="00D77419">
      <w:pPr>
        <w:rPr>
          <w:b/>
          <w:noProof/>
          <w:sz w:val="20"/>
          <w:szCs w:val="20"/>
        </w:rPr>
      </w:pPr>
      <w:r w:rsidRPr="00D77419">
        <w:rPr>
          <w:b/>
          <w:noProof/>
          <w:sz w:val="20"/>
          <w:szCs w:val="20"/>
        </w:rPr>
        <w:t>2.</w:t>
      </w:r>
      <w:r w:rsidRPr="00D77419">
        <w:rPr>
          <w:b/>
          <w:noProof/>
          <w:sz w:val="20"/>
          <w:szCs w:val="20"/>
        </w:rPr>
        <w:tab/>
        <w:t>Art und Merkmale der möglichen Auswirkungen </w:t>
      </w:r>
    </w:p>
    <w:p w:rsidR="00D77419" w:rsidRPr="00D77419" w:rsidRDefault="00D77419" w:rsidP="00D77419">
      <w:pPr>
        <w:rPr>
          <w:b/>
          <w:noProof/>
          <w:sz w:val="20"/>
          <w:szCs w:val="20"/>
        </w:rPr>
      </w:pPr>
    </w:p>
    <w:tbl>
      <w:tblPr>
        <w:tblStyle w:val="Tabellenraster"/>
        <w:tblW w:w="8505" w:type="dxa"/>
        <w:tblInd w:w="108" w:type="dxa"/>
        <w:tblLayout w:type="fixed"/>
        <w:tblLook w:val="04A0" w:firstRow="1" w:lastRow="0" w:firstColumn="1" w:lastColumn="0" w:noHBand="0" w:noVBand="1"/>
      </w:tblPr>
      <w:tblGrid>
        <w:gridCol w:w="2127"/>
        <w:gridCol w:w="6378"/>
      </w:tblGrid>
      <w:tr w:rsidR="00D77419" w:rsidRPr="00DB26B0" w:rsidTr="00D77419">
        <w:trPr>
          <w:cantSplit/>
          <w:trHeight w:val="285"/>
        </w:trPr>
        <w:tc>
          <w:tcPr>
            <w:tcW w:w="2127" w:type="dxa"/>
          </w:tcPr>
          <w:p w:rsidR="00D77419" w:rsidRPr="00DB26B0" w:rsidRDefault="00D77419" w:rsidP="00AA193F">
            <w:pPr>
              <w:rPr>
                <w:rFonts w:ascii="Arial" w:hAnsi="Arial" w:cs="Arial"/>
                <w:b/>
              </w:rPr>
            </w:pPr>
            <w:r w:rsidRPr="00DB26B0">
              <w:rPr>
                <w:rFonts w:ascii="Arial" w:hAnsi="Arial" w:cs="Arial"/>
                <w:b/>
              </w:rPr>
              <w:t>Tabelle 1</w:t>
            </w:r>
          </w:p>
        </w:tc>
        <w:tc>
          <w:tcPr>
            <w:tcW w:w="6378" w:type="dxa"/>
            <w:vAlign w:val="center"/>
          </w:tcPr>
          <w:p w:rsidR="00D77419" w:rsidRPr="00DB26B0" w:rsidRDefault="00D77419" w:rsidP="00462485">
            <w:pPr>
              <w:spacing w:after="120" w:line="240" w:lineRule="auto"/>
              <w:rPr>
                <w:rFonts w:ascii="Arial" w:hAnsi="Arial" w:cs="Arial"/>
                <w:b/>
              </w:rPr>
            </w:pPr>
            <w:r w:rsidRPr="00DB26B0">
              <w:rPr>
                <w:rFonts w:ascii="Arial" w:hAnsi="Arial" w:cs="Arial"/>
                <w:b/>
              </w:rPr>
              <w:t>Überschlägige Beschreibung der möglichen nachteiligen Umweltauswirkungen (Wirkfaktoren)</w:t>
            </w:r>
            <w:r w:rsidRPr="00DB26B0">
              <w:rPr>
                <w:rFonts w:ascii="Arial" w:hAnsi="Arial" w:cs="Arial"/>
                <w:b/>
                <w:i/>
              </w:rPr>
              <w:t xml:space="preserve"> </w:t>
            </w:r>
            <w:r w:rsidRPr="00DB26B0">
              <w:rPr>
                <w:rFonts w:ascii="Arial" w:hAnsi="Arial" w:cs="Arial"/>
                <w:b/>
              </w:rPr>
              <w:t>zur Bau-, Betriebsphase- und besonderen Betriebszuständen</w:t>
            </w:r>
          </w:p>
        </w:tc>
      </w:tr>
      <w:tr w:rsidR="00D77419" w:rsidRPr="00DB26B0" w:rsidTr="00D77419">
        <w:trPr>
          <w:cantSplit/>
          <w:trHeight w:val="285"/>
        </w:trPr>
        <w:tc>
          <w:tcPr>
            <w:tcW w:w="2127" w:type="dxa"/>
          </w:tcPr>
          <w:p w:rsidR="00D77419" w:rsidRPr="00F1735A" w:rsidRDefault="00D77419" w:rsidP="00AA193F">
            <w:pPr>
              <w:spacing w:line="240" w:lineRule="auto"/>
              <w:rPr>
                <w:rFonts w:ascii="Arial" w:hAnsi="Arial" w:cs="Arial"/>
              </w:rPr>
            </w:pPr>
            <w:r w:rsidRPr="00DB26B0">
              <w:rPr>
                <w:rFonts w:ascii="Arial" w:hAnsi="Arial" w:cs="Arial"/>
                <w:b/>
              </w:rPr>
              <w:t>Menschen</w:t>
            </w:r>
            <w:r w:rsidRPr="00F1735A">
              <w:rPr>
                <w:rFonts w:ascii="Arial" w:hAnsi="Arial" w:cs="Arial"/>
              </w:rPr>
              <w:t>, insbes. menschliche Gesundheit</w:t>
            </w:r>
          </w:p>
          <w:p w:rsidR="00DB26B0" w:rsidRPr="00DB26B0" w:rsidRDefault="00DB26B0" w:rsidP="00AA193F">
            <w:pPr>
              <w:spacing w:line="240" w:lineRule="auto"/>
              <w:rPr>
                <w:rFonts w:ascii="Arial" w:hAnsi="Arial" w:cs="Arial"/>
                <w:b/>
              </w:rPr>
            </w:pPr>
            <w:r w:rsidRPr="00F1735A">
              <w:rPr>
                <w:rFonts w:ascii="Arial" w:hAnsi="Arial" w:cs="Arial"/>
              </w:rPr>
              <w:t>Tiere, Pflanzen und biologische Vielfalt, einschließlich der Arten und Lebensraumtypen von gemeinschaftlicher Bedeutung</w:t>
            </w:r>
          </w:p>
        </w:tc>
        <w:tc>
          <w:tcPr>
            <w:tcW w:w="6378" w:type="dxa"/>
            <w:vAlign w:val="center"/>
          </w:tcPr>
          <w:p w:rsidR="001848C5" w:rsidRPr="001848C5" w:rsidRDefault="001848C5" w:rsidP="001848C5">
            <w:pPr>
              <w:spacing w:after="120" w:line="240" w:lineRule="auto"/>
              <w:rPr>
                <w:rFonts w:ascii="Arial" w:hAnsi="Arial" w:cs="Arial"/>
              </w:rPr>
            </w:pPr>
            <w:r w:rsidRPr="001848C5">
              <w:rPr>
                <w:rFonts w:ascii="Arial" w:hAnsi="Arial" w:cs="Arial"/>
              </w:rPr>
              <w:t xml:space="preserve">Im Hinblick auf </w:t>
            </w:r>
            <w:r>
              <w:rPr>
                <w:rFonts w:ascii="Arial" w:hAnsi="Arial" w:cs="Arial"/>
              </w:rPr>
              <w:t>die</w:t>
            </w:r>
            <w:r w:rsidRPr="001848C5">
              <w:rPr>
                <w:rFonts w:ascii="Arial" w:hAnsi="Arial" w:cs="Arial"/>
              </w:rPr>
              <w:t xml:space="preserve"> Luftschadstoffe (</w:t>
            </w:r>
            <w:proofErr w:type="spellStart"/>
            <w:r w:rsidRPr="001848C5">
              <w:rPr>
                <w:rFonts w:ascii="Arial" w:hAnsi="Arial" w:cs="Arial"/>
              </w:rPr>
              <w:t>NOx</w:t>
            </w:r>
            <w:proofErr w:type="spellEnd"/>
            <w:r w:rsidRPr="001848C5">
              <w:rPr>
                <w:rFonts w:ascii="Arial" w:hAnsi="Arial" w:cs="Arial"/>
              </w:rPr>
              <w:t>, CO, …) ist im Vergleich zu dem Istzustand (Betrieb gesamter Block IV) bei einem auf 1500 h/a begrenzten Betrieb der Gasturbine im Solobetrieb eine deutliche Verbesserung der Immissionssituation gegeben.</w:t>
            </w:r>
          </w:p>
          <w:p w:rsidR="00DB26B0" w:rsidRDefault="001848C5" w:rsidP="001848C5">
            <w:pPr>
              <w:spacing w:after="120" w:line="240" w:lineRule="auto"/>
              <w:rPr>
                <w:rFonts w:ascii="Arial" w:hAnsi="Arial" w:cs="Arial"/>
              </w:rPr>
            </w:pPr>
            <w:r>
              <w:rPr>
                <w:rFonts w:ascii="Arial" w:hAnsi="Arial" w:cs="Arial"/>
              </w:rPr>
              <w:t>Das Vorhaben hat keine negativen Auswirkungen auf die zu erwartenden Schallemissionen oder Schallimmissionen der stationären Schallquellen. Eine Vielzahl an technischen Komponenten des Dampfblocks bleiben im Solobetrieb der Gasturbine außer Betrieb. Die Gesamtschallsituation ist somit deutlich geringer als bei einem Volllastbetrieb des gesamten Blockes.</w:t>
            </w:r>
          </w:p>
          <w:p w:rsidR="00216945" w:rsidRPr="00DB26B0" w:rsidRDefault="00216945" w:rsidP="001848C5">
            <w:pPr>
              <w:spacing w:after="120" w:line="240" w:lineRule="auto"/>
              <w:rPr>
                <w:rFonts w:ascii="Arial" w:hAnsi="Arial" w:cs="Arial"/>
              </w:rPr>
            </w:pPr>
          </w:p>
        </w:tc>
      </w:tr>
      <w:tr w:rsidR="00D77419" w:rsidRPr="00DB26B0" w:rsidTr="00D77419">
        <w:trPr>
          <w:cantSplit/>
          <w:trHeight w:val="285"/>
        </w:trPr>
        <w:tc>
          <w:tcPr>
            <w:tcW w:w="2127" w:type="dxa"/>
          </w:tcPr>
          <w:p w:rsidR="00D77419" w:rsidRPr="00DB26B0" w:rsidRDefault="00D77419" w:rsidP="00AA193F">
            <w:pPr>
              <w:spacing w:line="240" w:lineRule="auto"/>
              <w:rPr>
                <w:rFonts w:ascii="Arial" w:hAnsi="Arial" w:cs="Arial"/>
                <w:b/>
              </w:rPr>
            </w:pPr>
            <w:r w:rsidRPr="00DB26B0">
              <w:rPr>
                <w:rFonts w:ascii="Arial" w:hAnsi="Arial" w:cs="Arial"/>
                <w:b/>
              </w:rPr>
              <w:t>Fläche</w:t>
            </w:r>
          </w:p>
        </w:tc>
        <w:tc>
          <w:tcPr>
            <w:tcW w:w="6378" w:type="dxa"/>
            <w:vAlign w:val="center"/>
          </w:tcPr>
          <w:p w:rsidR="0090570A" w:rsidRPr="00DB26B0" w:rsidRDefault="0090570A" w:rsidP="000C42C4">
            <w:pPr>
              <w:spacing w:after="120" w:line="240" w:lineRule="auto"/>
              <w:rPr>
                <w:rFonts w:ascii="Arial" w:hAnsi="Arial" w:cs="Arial"/>
              </w:rPr>
            </w:pPr>
            <w:r>
              <w:rPr>
                <w:rFonts w:ascii="Arial" w:hAnsi="Arial" w:cs="Arial"/>
              </w:rPr>
              <w:t xml:space="preserve">keine </w:t>
            </w:r>
            <w:r w:rsidR="00970AF9">
              <w:rPr>
                <w:rFonts w:ascii="Arial" w:hAnsi="Arial" w:cs="Arial"/>
              </w:rPr>
              <w:t>Neuversiegelung</w:t>
            </w:r>
            <w:r w:rsidR="00AA1085">
              <w:rPr>
                <w:rFonts w:ascii="Arial" w:hAnsi="Arial" w:cs="Arial"/>
              </w:rPr>
              <w:t>, keine baulichen Maßnahmen</w:t>
            </w:r>
          </w:p>
        </w:tc>
      </w:tr>
      <w:tr w:rsidR="00D77419" w:rsidRPr="00DB26B0" w:rsidTr="00D77419">
        <w:trPr>
          <w:cantSplit/>
          <w:trHeight w:val="285"/>
        </w:trPr>
        <w:tc>
          <w:tcPr>
            <w:tcW w:w="2127" w:type="dxa"/>
          </w:tcPr>
          <w:p w:rsidR="00D77419" w:rsidRPr="00DB26B0" w:rsidRDefault="00D77419" w:rsidP="00AA193F">
            <w:pPr>
              <w:spacing w:line="240" w:lineRule="auto"/>
              <w:rPr>
                <w:rFonts w:ascii="Arial" w:hAnsi="Arial" w:cs="Arial"/>
                <w:b/>
              </w:rPr>
            </w:pPr>
            <w:r w:rsidRPr="00DB26B0">
              <w:rPr>
                <w:rFonts w:ascii="Arial" w:hAnsi="Arial" w:cs="Arial"/>
                <w:b/>
              </w:rPr>
              <w:t>Boden</w:t>
            </w:r>
          </w:p>
        </w:tc>
        <w:tc>
          <w:tcPr>
            <w:tcW w:w="6378" w:type="dxa"/>
            <w:vAlign w:val="center"/>
          </w:tcPr>
          <w:p w:rsidR="0090570A" w:rsidRPr="00DB26B0" w:rsidRDefault="00F954AB" w:rsidP="000C42C4">
            <w:pPr>
              <w:spacing w:after="120" w:line="240" w:lineRule="auto"/>
              <w:rPr>
                <w:rFonts w:ascii="Arial" w:hAnsi="Arial" w:cs="Arial"/>
              </w:rPr>
            </w:pPr>
            <w:r>
              <w:rPr>
                <w:rFonts w:ascii="Arial" w:hAnsi="Arial" w:cs="Arial"/>
              </w:rPr>
              <w:t xml:space="preserve">Keine </w:t>
            </w:r>
            <w:r w:rsidR="00E74E3A" w:rsidRPr="0090570A">
              <w:rPr>
                <w:rFonts w:ascii="Arial" w:hAnsi="Arial" w:cs="Arial"/>
              </w:rPr>
              <w:t>Neuversiegelung</w:t>
            </w:r>
            <w:r w:rsidR="00E74E3A">
              <w:rPr>
                <w:rFonts w:ascii="Arial" w:hAnsi="Arial" w:cs="Arial"/>
              </w:rPr>
              <w:t xml:space="preserve"> - </w:t>
            </w:r>
            <w:r w:rsidR="00E74E3A" w:rsidRPr="0090570A">
              <w:rPr>
                <w:rFonts w:ascii="Arial" w:hAnsi="Arial" w:cs="Arial"/>
              </w:rPr>
              <w:t>keine</w:t>
            </w:r>
            <w:r w:rsidR="00E74E3A">
              <w:rPr>
                <w:rFonts w:ascii="Arial" w:hAnsi="Arial" w:cs="Arial"/>
              </w:rPr>
              <w:t xml:space="preserve"> </w:t>
            </w:r>
            <w:r>
              <w:rPr>
                <w:rFonts w:ascii="Arial" w:hAnsi="Arial" w:cs="Arial"/>
              </w:rPr>
              <w:t>relevanten Auswirkungen für den Boden</w:t>
            </w:r>
          </w:p>
        </w:tc>
      </w:tr>
      <w:tr w:rsidR="00D77419" w:rsidRPr="00DB26B0" w:rsidTr="00D77419">
        <w:trPr>
          <w:cantSplit/>
          <w:trHeight w:val="285"/>
        </w:trPr>
        <w:tc>
          <w:tcPr>
            <w:tcW w:w="2127" w:type="dxa"/>
          </w:tcPr>
          <w:p w:rsidR="00D77419" w:rsidRPr="00DB26B0" w:rsidRDefault="00D77419" w:rsidP="00AA193F">
            <w:pPr>
              <w:spacing w:line="240" w:lineRule="auto"/>
              <w:rPr>
                <w:rFonts w:ascii="Arial" w:hAnsi="Arial" w:cs="Arial"/>
                <w:b/>
              </w:rPr>
            </w:pPr>
            <w:r w:rsidRPr="00DB26B0">
              <w:rPr>
                <w:rFonts w:ascii="Arial" w:hAnsi="Arial" w:cs="Arial"/>
                <w:b/>
              </w:rPr>
              <w:t>Wasser</w:t>
            </w:r>
          </w:p>
        </w:tc>
        <w:tc>
          <w:tcPr>
            <w:tcW w:w="6378" w:type="dxa"/>
            <w:vAlign w:val="center"/>
          </w:tcPr>
          <w:p w:rsidR="00AA1085" w:rsidRDefault="0090570A" w:rsidP="000C42C4">
            <w:pPr>
              <w:spacing w:after="120" w:line="240" w:lineRule="auto"/>
              <w:rPr>
                <w:rFonts w:ascii="Arial" w:hAnsi="Arial" w:cs="Arial"/>
              </w:rPr>
            </w:pPr>
            <w:r>
              <w:rPr>
                <w:rFonts w:ascii="Arial" w:hAnsi="Arial" w:cs="Arial"/>
              </w:rPr>
              <w:t>Keine neue Versiegelung von Flächen</w:t>
            </w:r>
          </w:p>
          <w:p w:rsidR="00C828E4" w:rsidRPr="00DB26B0" w:rsidRDefault="00216945" w:rsidP="00216945">
            <w:pPr>
              <w:spacing w:after="120" w:line="240" w:lineRule="auto"/>
              <w:rPr>
                <w:rFonts w:ascii="Arial" w:hAnsi="Arial" w:cs="Arial"/>
              </w:rPr>
            </w:pPr>
            <w:r>
              <w:rPr>
                <w:rFonts w:ascii="Arial" w:hAnsi="Arial" w:cs="Arial"/>
              </w:rPr>
              <w:t xml:space="preserve">Ein Einfluss des Vorhabens auf die Oberflächengewässer oder das Grundwasser ist nicht gegeben. </w:t>
            </w:r>
            <w:r w:rsidR="00E74E3A">
              <w:rPr>
                <w:rFonts w:ascii="Arial" w:hAnsi="Arial" w:cs="Arial"/>
              </w:rPr>
              <w:t>D</w:t>
            </w:r>
            <w:r w:rsidR="00AA1085" w:rsidRPr="00AA1085">
              <w:rPr>
                <w:rFonts w:ascii="Arial" w:hAnsi="Arial" w:cs="Arial"/>
              </w:rPr>
              <w:t>ie Entnahme</w:t>
            </w:r>
            <w:r>
              <w:rPr>
                <w:rFonts w:ascii="Arial" w:hAnsi="Arial" w:cs="Arial"/>
              </w:rPr>
              <w:t xml:space="preserve"> und Wiedereinleitung von Kühlwasser </w:t>
            </w:r>
            <w:r w:rsidR="00E74E3A">
              <w:rPr>
                <w:rFonts w:ascii="Arial" w:hAnsi="Arial" w:cs="Arial"/>
              </w:rPr>
              <w:t>liegen</w:t>
            </w:r>
            <w:r w:rsidR="00AA1085" w:rsidRPr="00AA1085">
              <w:rPr>
                <w:rFonts w:ascii="Arial" w:hAnsi="Arial" w:cs="Arial"/>
              </w:rPr>
              <w:t xml:space="preserve"> innerhalb der bestehenden wasserrechtlichen Erlaubnismengen, sodass keine wesentlichen negativen Auswirkungen auf die Ressource Wasser zu erwarten sind.</w:t>
            </w:r>
          </w:p>
        </w:tc>
      </w:tr>
      <w:tr w:rsidR="00D77419" w:rsidRPr="00DB26B0" w:rsidTr="00D77419">
        <w:trPr>
          <w:cantSplit/>
          <w:trHeight w:val="285"/>
        </w:trPr>
        <w:tc>
          <w:tcPr>
            <w:tcW w:w="2127" w:type="dxa"/>
          </w:tcPr>
          <w:p w:rsidR="00D77419" w:rsidRPr="00DB26B0" w:rsidRDefault="00D77419" w:rsidP="00AA193F">
            <w:pPr>
              <w:spacing w:line="240" w:lineRule="auto"/>
              <w:rPr>
                <w:rFonts w:ascii="Arial" w:hAnsi="Arial" w:cs="Arial"/>
                <w:b/>
              </w:rPr>
            </w:pPr>
            <w:r w:rsidRPr="00DB26B0">
              <w:rPr>
                <w:rFonts w:ascii="Arial" w:hAnsi="Arial" w:cs="Arial"/>
                <w:b/>
              </w:rPr>
              <w:t>Luft</w:t>
            </w:r>
          </w:p>
        </w:tc>
        <w:tc>
          <w:tcPr>
            <w:tcW w:w="6378" w:type="dxa"/>
            <w:vAlign w:val="center"/>
          </w:tcPr>
          <w:p w:rsidR="00B512EC" w:rsidRPr="00DB26B0" w:rsidRDefault="001848C5" w:rsidP="00340659">
            <w:pPr>
              <w:spacing w:after="120" w:line="240" w:lineRule="auto"/>
              <w:rPr>
                <w:rFonts w:ascii="Arial" w:hAnsi="Arial" w:cs="Arial"/>
              </w:rPr>
            </w:pPr>
            <w:r w:rsidRPr="001848C5">
              <w:rPr>
                <w:rFonts w:ascii="Arial" w:hAnsi="Arial" w:cs="Arial"/>
              </w:rPr>
              <w:t>Im Hinblick auf die Prüfung der Genehmigungsvoraussetzungen weist das vorliegende Gutachten eine wesentlich geringere Emission an Luftschadstoffen (</w:t>
            </w:r>
            <w:proofErr w:type="spellStart"/>
            <w:r w:rsidRPr="001848C5">
              <w:rPr>
                <w:rFonts w:ascii="Arial" w:hAnsi="Arial" w:cs="Arial"/>
              </w:rPr>
              <w:t>NOx</w:t>
            </w:r>
            <w:proofErr w:type="spellEnd"/>
            <w:r w:rsidRPr="001848C5">
              <w:rPr>
                <w:rFonts w:ascii="Arial" w:hAnsi="Arial" w:cs="Arial"/>
              </w:rPr>
              <w:t>, CO, …) im Vergleich mit der vorliegenden Genehmigungslage aus. Die immissionsseitigen Auswirkungen liegen deutlich unter den Irrelevanzkriterien. Zusätzlich ist im Vergleich zu dem Istzustand (Betrieb gesamter Block IV) bei einem auf 1500 h/a begrenzten Betrieb der Gasturbine im Solobetrieb eine deutliche Verbesserung der Immissionssituation gegeben.</w:t>
            </w:r>
          </w:p>
        </w:tc>
      </w:tr>
      <w:tr w:rsidR="00D77419" w:rsidRPr="00DB26B0" w:rsidTr="00D77419">
        <w:trPr>
          <w:cantSplit/>
          <w:trHeight w:val="285"/>
        </w:trPr>
        <w:tc>
          <w:tcPr>
            <w:tcW w:w="2127" w:type="dxa"/>
          </w:tcPr>
          <w:p w:rsidR="00D77419" w:rsidRPr="00DB26B0" w:rsidRDefault="00D77419" w:rsidP="00AA193F">
            <w:pPr>
              <w:spacing w:line="240" w:lineRule="auto"/>
              <w:rPr>
                <w:rFonts w:ascii="Arial" w:hAnsi="Arial" w:cs="Arial"/>
                <w:b/>
              </w:rPr>
            </w:pPr>
            <w:r w:rsidRPr="00DB26B0">
              <w:rPr>
                <w:rFonts w:ascii="Arial" w:hAnsi="Arial" w:cs="Arial"/>
                <w:b/>
              </w:rPr>
              <w:lastRenderedPageBreak/>
              <w:t>Landschaft</w:t>
            </w:r>
          </w:p>
        </w:tc>
        <w:tc>
          <w:tcPr>
            <w:tcW w:w="6378" w:type="dxa"/>
            <w:vAlign w:val="center"/>
          </w:tcPr>
          <w:p w:rsidR="00216945" w:rsidRDefault="00B74914" w:rsidP="00216945">
            <w:pPr>
              <w:spacing w:after="120" w:line="240" w:lineRule="auto"/>
              <w:rPr>
                <w:rFonts w:ascii="Arial" w:hAnsi="Arial" w:cs="Arial"/>
              </w:rPr>
            </w:pPr>
            <w:r w:rsidRPr="00B74914">
              <w:rPr>
                <w:rFonts w:ascii="Arial" w:hAnsi="Arial" w:cs="Arial"/>
              </w:rPr>
              <w:t xml:space="preserve">Es handelt sich um ein </w:t>
            </w:r>
            <w:r>
              <w:rPr>
                <w:rFonts w:ascii="Arial" w:hAnsi="Arial" w:cs="Arial"/>
              </w:rPr>
              <w:t>V</w:t>
            </w:r>
            <w:r w:rsidRPr="00B74914">
              <w:rPr>
                <w:rFonts w:ascii="Arial" w:hAnsi="Arial" w:cs="Arial"/>
              </w:rPr>
              <w:t>o</w:t>
            </w:r>
            <w:r w:rsidR="00216945">
              <w:rPr>
                <w:rFonts w:ascii="Arial" w:hAnsi="Arial" w:cs="Arial"/>
              </w:rPr>
              <w:t xml:space="preserve">rhaben in einem im Zusammenhang bebauten Ortsteil, für den kein Bebauungsplan aufgestellt ist. </w:t>
            </w:r>
            <w:r w:rsidRPr="00B74914">
              <w:rPr>
                <w:rFonts w:ascii="Arial" w:hAnsi="Arial" w:cs="Arial"/>
              </w:rPr>
              <w:t>Die planungsrechtliche Zulässigkeit ergib</w:t>
            </w:r>
            <w:r>
              <w:rPr>
                <w:rFonts w:ascii="Arial" w:hAnsi="Arial" w:cs="Arial"/>
              </w:rPr>
              <w:t>t sich aus § 3</w:t>
            </w:r>
            <w:r w:rsidR="00216945">
              <w:rPr>
                <w:rFonts w:ascii="Arial" w:hAnsi="Arial" w:cs="Arial"/>
              </w:rPr>
              <w:t>4 BauGB (Industriegebiet).</w:t>
            </w:r>
          </w:p>
          <w:p w:rsidR="00DE7F70" w:rsidRDefault="00B74914" w:rsidP="00DE7F70">
            <w:pPr>
              <w:spacing w:after="120" w:line="240" w:lineRule="auto"/>
              <w:rPr>
                <w:rFonts w:ascii="Arial" w:hAnsi="Arial" w:cs="Arial"/>
              </w:rPr>
            </w:pPr>
            <w:r w:rsidRPr="00B74914">
              <w:rPr>
                <w:rFonts w:ascii="Arial" w:hAnsi="Arial" w:cs="Arial"/>
              </w:rPr>
              <w:t xml:space="preserve">Es handelt sich hier um die </w:t>
            </w:r>
            <w:r w:rsidR="00216945">
              <w:rPr>
                <w:rFonts w:ascii="Arial" w:hAnsi="Arial" w:cs="Arial"/>
              </w:rPr>
              <w:t>Änd</w:t>
            </w:r>
            <w:r w:rsidRPr="00B74914">
              <w:rPr>
                <w:rFonts w:ascii="Arial" w:hAnsi="Arial" w:cs="Arial"/>
              </w:rPr>
              <w:t>erung eines zulässigerweise errichteten gewerblichen Betriebs.</w:t>
            </w:r>
            <w:r>
              <w:rPr>
                <w:rFonts w:ascii="Arial" w:hAnsi="Arial" w:cs="Arial"/>
              </w:rPr>
              <w:t xml:space="preserve"> </w:t>
            </w:r>
            <w:r w:rsidR="00DE7F70">
              <w:rPr>
                <w:rFonts w:ascii="Arial" w:hAnsi="Arial" w:cs="Arial"/>
              </w:rPr>
              <w:t>Die Realisierung des Vorhabens wird mit den derzeit bereits installierten technischen Komponenten durchgeführt. Erhebliche</w:t>
            </w:r>
            <w:r w:rsidR="00F954AB">
              <w:rPr>
                <w:rFonts w:ascii="Arial" w:hAnsi="Arial" w:cs="Arial"/>
              </w:rPr>
              <w:t xml:space="preserve"> nachhaltige</w:t>
            </w:r>
            <w:r w:rsidR="00DE7F70">
              <w:rPr>
                <w:rFonts w:ascii="Arial" w:hAnsi="Arial" w:cs="Arial"/>
              </w:rPr>
              <w:t xml:space="preserve"> Auswirkungen auf das Landschaftsbild sind daher auszuschließen.</w:t>
            </w:r>
          </w:p>
          <w:p w:rsidR="0090570A" w:rsidRPr="00DB26B0" w:rsidRDefault="0090570A" w:rsidP="00DE7F70">
            <w:pPr>
              <w:spacing w:after="120" w:line="240" w:lineRule="auto"/>
              <w:rPr>
                <w:rFonts w:ascii="Arial" w:hAnsi="Arial" w:cs="Arial"/>
              </w:rPr>
            </w:pPr>
          </w:p>
        </w:tc>
      </w:tr>
    </w:tbl>
    <w:p w:rsidR="00F954AB" w:rsidRDefault="00F954AB" w:rsidP="00DB26B0">
      <w:pPr>
        <w:rPr>
          <w:noProof/>
          <w:sz w:val="18"/>
          <w:szCs w:val="18"/>
        </w:rPr>
      </w:pPr>
    </w:p>
    <w:p w:rsidR="001C2906" w:rsidRDefault="001C2906">
      <w:pPr>
        <w:rPr>
          <w:noProof/>
          <w:sz w:val="18"/>
          <w:szCs w:val="18"/>
        </w:rPr>
      </w:pPr>
    </w:p>
    <w:tbl>
      <w:tblPr>
        <w:tblStyle w:val="Tabellenraster"/>
        <w:tblW w:w="9566" w:type="dxa"/>
        <w:tblInd w:w="108" w:type="dxa"/>
        <w:tblLayout w:type="fixed"/>
        <w:tblLook w:val="04A0" w:firstRow="1" w:lastRow="0" w:firstColumn="1" w:lastColumn="0" w:noHBand="0" w:noVBand="1"/>
      </w:tblPr>
      <w:tblGrid>
        <w:gridCol w:w="1560"/>
        <w:gridCol w:w="1845"/>
        <w:gridCol w:w="683"/>
        <w:gridCol w:w="782"/>
        <w:gridCol w:w="782"/>
        <w:gridCol w:w="782"/>
        <w:gridCol w:w="782"/>
        <w:gridCol w:w="782"/>
        <w:gridCol w:w="786"/>
        <w:gridCol w:w="782"/>
      </w:tblGrid>
      <w:tr w:rsidR="005073D9" w:rsidRPr="005073D9" w:rsidTr="00DB26B0">
        <w:trPr>
          <w:trHeight w:val="267"/>
        </w:trPr>
        <w:tc>
          <w:tcPr>
            <w:tcW w:w="1560" w:type="dxa"/>
          </w:tcPr>
          <w:p w:rsidR="005073D9" w:rsidRPr="005073D9" w:rsidRDefault="005073D9" w:rsidP="005073D9">
            <w:pPr>
              <w:rPr>
                <w:rFonts w:ascii="Arial" w:hAnsi="Arial" w:cs="Arial"/>
                <w:noProof/>
                <w:sz w:val="18"/>
                <w:szCs w:val="18"/>
              </w:rPr>
            </w:pPr>
          </w:p>
        </w:tc>
        <w:tc>
          <w:tcPr>
            <w:tcW w:w="1845" w:type="dxa"/>
          </w:tcPr>
          <w:p w:rsidR="005073D9" w:rsidRPr="005073D9" w:rsidRDefault="005073D9" w:rsidP="005073D9">
            <w:pPr>
              <w:rPr>
                <w:rFonts w:ascii="Arial" w:hAnsi="Arial" w:cs="Arial"/>
                <w:noProof/>
                <w:sz w:val="18"/>
                <w:szCs w:val="18"/>
              </w:rPr>
            </w:pPr>
          </w:p>
        </w:tc>
        <w:tc>
          <w:tcPr>
            <w:tcW w:w="5379" w:type="dxa"/>
            <w:gridSpan w:val="7"/>
          </w:tcPr>
          <w:p w:rsidR="005073D9" w:rsidRPr="005073D9" w:rsidRDefault="005073D9" w:rsidP="005073D9">
            <w:pPr>
              <w:rPr>
                <w:rFonts w:ascii="Arial" w:hAnsi="Arial" w:cs="Arial"/>
                <w:b/>
                <w:noProof/>
                <w:sz w:val="18"/>
                <w:szCs w:val="18"/>
              </w:rPr>
            </w:pPr>
            <w:r w:rsidRPr="005073D9">
              <w:rPr>
                <w:rFonts w:ascii="Arial" w:hAnsi="Arial" w:cs="Arial"/>
                <w:b/>
                <w:noProof/>
                <w:sz w:val="18"/>
                <w:szCs w:val="18"/>
              </w:rPr>
              <w:t>Kriterien für die Beurteilung der Auswirkungen</w:t>
            </w:r>
          </w:p>
        </w:tc>
        <w:tc>
          <w:tcPr>
            <w:tcW w:w="782" w:type="dxa"/>
          </w:tcPr>
          <w:p w:rsidR="005073D9" w:rsidRPr="005073D9" w:rsidRDefault="005073D9" w:rsidP="005073D9">
            <w:pPr>
              <w:rPr>
                <w:rFonts w:ascii="Arial" w:hAnsi="Arial" w:cs="Arial"/>
                <w:noProof/>
                <w:sz w:val="18"/>
                <w:szCs w:val="18"/>
              </w:rPr>
            </w:pPr>
          </w:p>
        </w:tc>
      </w:tr>
      <w:tr w:rsidR="005073D9" w:rsidRPr="005073D9" w:rsidTr="00DB26B0">
        <w:trPr>
          <w:cantSplit/>
          <w:trHeight w:val="2054"/>
        </w:trPr>
        <w:tc>
          <w:tcPr>
            <w:tcW w:w="1560" w:type="dxa"/>
          </w:tcPr>
          <w:p w:rsidR="005073D9" w:rsidRPr="005073D9" w:rsidRDefault="005073D9" w:rsidP="005073D9">
            <w:pPr>
              <w:rPr>
                <w:rFonts w:ascii="Arial" w:hAnsi="Arial" w:cs="Arial"/>
                <w:noProof/>
                <w:sz w:val="18"/>
                <w:szCs w:val="18"/>
              </w:rPr>
            </w:pPr>
          </w:p>
        </w:tc>
        <w:tc>
          <w:tcPr>
            <w:tcW w:w="1845" w:type="dxa"/>
          </w:tcPr>
          <w:p w:rsidR="005073D9" w:rsidRPr="005073D9" w:rsidRDefault="005073D9" w:rsidP="005073D9">
            <w:pPr>
              <w:rPr>
                <w:rFonts w:ascii="Arial" w:hAnsi="Arial" w:cs="Arial"/>
                <w:noProof/>
                <w:sz w:val="18"/>
                <w:szCs w:val="18"/>
              </w:rPr>
            </w:pPr>
            <w:r w:rsidRPr="005073D9">
              <w:rPr>
                <w:rFonts w:ascii="Arial" w:hAnsi="Arial" w:cs="Arial"/>
                <w:noProof/>
                <w:sz w:val="18"/>
                <w:szCs w:val="18"/>
              </w:rPr>
              <w:t>bezogen auf den Einwirkungsbereich der Anlage</w:t>
            </w:r>
          </w:p>
        </w:tc>
        <w:tc>
          <w:tcPr>
            <w:tcW w:w="683" w:type="dxa"/>
            <w:textDirection w:val="btLr"/>
            <w:vAlign w:val="center"/>
          </w:tcPr>
          <w:p w:rsidR="005073D9" w:rsidRPr="005073D9" w:rsidRDefault="005073D9" w:rsidP="005073D9">
            <w:pPr>
              <w:ind w:left="113" w:right="113" w:hanging="194"/>
              <w:jc w:val="center"/>
              <w:rPr>
                <w:rFonts w:ascii="Arial" w:hAnsi="Arial" w:cs="Arial"/>
                <w:noProof/>
                <w:sz w:val="18"/>
                <w:szCs w:val="18"/>
              </w:rPr>
            </w:pPr>
            <w:r w:rsidRPr="005073D9">
              <w:rPr>
                <w:rFonts w:ascii="Arial" w:hAnsi="Arial" w:cs="Arial"/>
                <w:noProof/>
                <w:sz w:val="18"/>
                <w:szCs w:val="18"/>
              </w:rPr>
              <w:t>hohes Ausmaß</w:t>
            </w:r>
          </w:p>
        </w:tc>
        <w:tc>
          <w:tcPr>
            <w:tcW w:w="782" w:type="dxa"/>
            <w:textDirection w:val="btLr"/>
            <w:vAlign w:val="center"/>
          </w:tcPr>
          <w:p w:rsidR="005073D9" w:rsidRPr="005073D9" w:rsidRDefault="005073D9" w:rsidP="005073D9">
            <w:pPr>
              <w:ind w:left="113" w:right="113" w:hanging="194"/>
              <w:jc w:val="center"/>
              <w:rPr>
                <w:rFonts w:ascii="Arial" w:hAnsi="Arial" w:cs="Arial"/>
                <w:noProof/>
                <w:sz w:val="18"/>
                <w:szCs w:val="18"/>
              </w:rPr>
            </w:pPr>
            <w:r w:rsidRPr="005073D9">
              <w:rPr>
                <w:rFonts w:ascii="Arial" w:hAnsi="Arial" w:cs="Arial"/>
                <w:noProof/>
                <w:sz w:val="18"/>
                <w:szCs w:val="18"/>
              </w:rPr>
              <w:t>geringe  Wiederherstellbarkeit</w:t>
            </w:r>
          </w:p>
        </w:tc>
        <w:tc>
          <w:tcPr>
            <w:tcW w:w="782" w:type="dxa"/>
            <w:textDirection w:val="btLr"/>
            <w:vAlign w:val="center"/>
          </w:tcPr>
          <w:p w:rsidR="005073D9" w:rsidRPr="005073D9" w:rsidRDefault="005073D9" w:rsidP="005073D9">
            <w:pPr>
              <w:ind w:left="113" w:right="113" w:hanging="194"/>
              <w:jc w:val="center"/>
              <w:rPr>
                <w:rFonts w:ascii="Arial" w:hAnsi="Arial" w:cs="Arial"/>
                <w:noProof/>
                <w:sz w:val="18"/>
                <w:szCs w:val="18"/>
              </w:rPr>
            </w:pPr>
            <w:r w:rsidRPr="005073D9">
              <w:rPr>
                <w:rFonts w:ascii="Arial" w:hAnsi="Arial" w:cs="Arial"/>
                <w:noProof/>
                <w:sz w:val="18"/>
                <w:szCs w:val="18"/>
              </w:rPr>
              <w:t>Schwere und      Komplexität</w:t>
            </w:r>
          </w:p>
        </w:tc>
        <w:tc>
          <w:tcPr>
            <w:tcW w:w="782" w:type="dxa"/>
            <w:textDirection w:val="btLr"/>
            <w:vAlign w:val="center"/>
          </w:tcPr>
          <w:p w:rsidR="005073D9" w:rsidRPr="005073D9" w:rsidRDefault="005073D9" w:rsidP="005073D9">
            <w:pPr>
              <w:ind w:left="113" w:right="113" w:hanging="194"/>
              <w:jc w:val="center"/>
              <w:rPr>
                <w:rFonts w:ascii="Arial" w:hAnsi="Arial" w:cs="Arial"/>
                <w:noProof/>
                <w:sz w:val="18"/>
                <w:szCs w:val="18"/>
              </w:rPr>
            </w:pPr>
            <w:r w:rsidRPr="005073D9">
              <w:rPr>
                <w:rFonts w:ascii="Arial" w:hAnsi="Arial" w:cs="Arial"/>
                <w:noProof/>
                <w:sz w:val="18"/>
                <w:szCs w:val="18"/>
              </w:rPr>
              <w:t>hohe Wahrscheinlichkeit</w:t>
            </w:r>
          </w:p>
        </w:tc>
        <w:tc>
          <w:tcPr>
            <w:tcW w:w="782" w:type="dxa"/>
            <w:textDirection w:val="btLr"/>
            <w:vAlign w:val="center"/>
          </w:tcPr>
          <w:p w:rsidR="005073D9" w:rsidRPr="005073D9" w:rsidRDefault="005073D9" w:rsidP="005073D9">
            <w:pPr>
              <w:ind w:left="113" w:right="113" w:hanging="194"/>
              <w:jc w:val="center"/>
              <w:rPr>
                <w:rFonts w:ascii="Arial" w:hAnsi="Arial" w:cs="Arial"/>
                <w:noProof/>
                <w:sz w:val="18"/>
                <w:szCs w:val="18"/>
              </w:rPr>
            </w:pPr>
            <w:r w:rsidRPr="005073D9">
              <w:rPr>
                <w:rFonts w:ascii="Arial" w:hAnsi="Arial" w:cs="Arial"/>
                <w:noProof/>
                <w:sz w:val="18"/>
                <w:szCs w:val="18"/>
              </w:rPr>
              <w:t>lange Dauer</w:t>
            </w:r>
          </w:p>
        </w:tc>
        <w:tc>
          <w:tcPr>
            <w:tcW w:w="782" w:type="dxa"/>
            <w:textDirection w:val="btLr"/>
            <w:vAlign w:val="center"/>
          </w:tcPr>
          <w:p w:rsidR="005073D9" w:rsidRPr="005073D9" w:rsidRDefault="005073D9" w:rsidP="005073D9">
            <w:pPr>
              <w:ind w:left="113" w:right="113" w:hanging="194"/>
              <w:jc w:val="center"/>
              <w:rPr>
                <w:rFonts w:ascii="Arial" w:hAnsi="Arial" w:cs="Arial"/>
                <w:noProof/>
                <w:sz w:val="18"/>
                <w:szCs w:val="18"/>
              </w:rPr>
            </w:pPr>
            <w:r w:rsidRPr="005073D9">
              <w:rPr>
                <w:rFonts w:ascii="Arial" w:hAnsi="Arial" w:cs="Arial"/>
                <w:noProof/>
                <w:sz w:val="18"/>
                <w:szCs w:val="18"/>
              </w:rPr>
              <w:t>hohe Häufigkeit</w:t>
            </w:r>
          </w:p>
        </w:tc>
        <w:tc>
          <w:tcPr>
            <w:tcW w:w="786" w:type="dxa"/>
            <w:textDirection w:val="btLr"/>
            <w:vAlign w:val="center"/>
          </w:tcPr>
          <w:p w:rsidR="005073D9" w:rsidRPr="005073D9" w:rsidRDefault="005073D9" w:rsidP="005073D9">
            <w:pPr>
              <w:ind w:left="113" w:right="113" w:hanging="194"/>
              <w:jc w:val="center"/>
              <w:rPr>
                <w:rFonts w:ascii="Arial" w:hAnsi="Arial" w:cs="Arial"/>
                <w:noProof/>
                <w:sz w:val="18"/>
                <w:szCs w:val="18"/>
              </w:rPr>
            </w:pPr>
            <w:r w:rsidRPr="005073D9">
              <w:rPr>
                <w:rFonts w:ascii="Arial" w:hAnsi="Arial" w:cs="Arial"/>
                <w:noProof/>
                <w:sz w:val="18"/>
                <w:szCs w:val="18"/>
              </w:rPr>
              <w:t>grenzüberschreitend</w:t>
            </w:r>
          </w:p>
        </w:tc>
        <w:tc>
          <w:tcPr>
            <w:tcW w:w="782" w:type="dxa"/>
            <w:textDirection w:val="btLr"/>
            <w:vAlign w:val="center"/>
          </w:tcPr>
          <w:p w:rsidR="005073D9" w:rsidRPr="005073D9" w:rsidRDefault="005073D9" w:rsidP="005073D9">
            <w:pPr>
              <w:ind w:left="113" w:right="113" w:hanging="194"/>
              <w:jc w:val="center"/>
              <w:rPr>
                <w:rFonts w:ascii="Arial" w:hAnsi="Arial" w:cs="Arial"/>
                <w:b/>
                <w:noProof/>
                <w:sz w:val="18"/>
                <w:szCs w:val="18"/>
              </w:rPr>
            </w:pPr>
            <w:r w:rsidRPr="005073D9">
              <w:rPr>
                <w:rFonts w:ascii="Arial" w:hAnsi="Arial" w:cs="Arial"/>
                <w:b/>
                <w:noProof/>
                <w:sz w:val="18"/>
                <w:szCs w:val="18"/>
              </w:rPr>
              <w:t>Keine erheblichen Auswirkungen</w:t>
            </w:r>
          </w:p>
        </w:tc>
      </w:tr>
      <w:tr w:rsidR="005073D9" w:rsidRPr="005073D9" w:rsidTr="00DB26B0">
        <w:trPr>
          <w:cantSplit/>
          <w:trHeight w:val="278"/>
        </w:trPr>
        <w:tc>
          <w:tcPr>
            <w:tcW w:w="1560" w:type="dxa"/>
          </w:tcPr>
          <w:p w:rsidR="005073D9" w:rsidRPr="005073D9" w:rsidRDefault="005073D9" w:rsidP="005073D9">
            <w:pPr>
              <w:rPr>
                <w:rFonts w:ascii="Arial" w:hAnsi="Arial" w:cs="Arial"/>
                <w:noProof/>
                <w:sz w:val="18"/>
                <w:szCs w:val="18"/>
              </w:rPr>
            </w:pPr>
            <w:r w:rsidRPr="005073D9">
              <w:rPr>
                <w:rFonts w:ascii="Arial" w:hAnsi="Arial" w:cs="Arial"/>
                <w:sz w:val="18"/>
                <w:szCs w:val="18"/>
              </w:rPr>
              <w:t>2.1</w:t>
            </w:r>
          </w:p>
        </w:tc>
        <w:tc>
          <w:tcPr>
            <w:tcW w:w="1845" w:type="dxa"/>
          </w:tcPr>
          <w:p w:rsidR="005073D9" w:rsidRPr="005073D9" w:rsidRDefault="005073D9" w:rsidP="005073D9">
            <w:pPr>
              <w:rPr>
                <w:rFonts w:ascii="Arial" w:hAnsi="Arial" w:cs="Arial"/>
                <w:noProof/>
                <w:sz w:val="18"/>
                <w:szCs w:val="18"/>
              </w:rPr>
            </w:pPr>
            <w:r w:rsidRPr="005073D9">
              <w:rPr>
                <w:rFonts w:ascii="Arial" w:hAnsi="Arial" w:cs="Arial"/>
                <w:sz w:val="18"/>
                <w:szCs w:val="18"/>
              </w:rPr>
              <w:t>Menschen</w:t>
            </w:r>
          </w:p>
        </w:tc>
        <w:sdt>
          <w:sdtPr>
            <w:rPr>
              <w:noProof/>
              <w:sz w:val="18"/>
              <w:szCs w:val="18"/>
            </w:rPr>
            <w:id w:val="-1913006151"/>
            <w14:checkbox>
              <w14:checked w14:val="0"/>
              <w14:checkedState w14:val="2612" w14:font="MS Gothic"/>
              <w14:uncheckedState w14:val="2610" w14:font="MS Gothic"/>
            </w14:checkbox>
          </w:sdtPr>
          <w:sdtEndPr/>
          <w:sdtContent>
            <w:tc>
              <w:tcPr>
                <w:tcW w:w="683" w:type="dxa"/>
                <w:vAlign w:val="center"/>
              </w:tcPr>
              <w:p w:rsidR="005073D9" w:rsidRPr="005073D9" w:rsidRDefault="006E6F10"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sdt>
          <w:sdtPr>
            <w:rPr>
              <w:noProof/>
              <w:sz w:val="18"/>
              <w:szCs w:val="18"/>
            </w:rPr>
            <w:id w:val="-1675098806"/>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91978383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284808507"/>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969282143"/>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77660202"/>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794244347"/>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2022815040"/>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2.2 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Tiere</w:t>
            </w:r>
          </w:p>
        </w:tc>
        <w:sdt>
          <w:sdtPr>
            <w:rPr>
              <w:noProof/>
              <w:sz w:val="18"/>
              <w:szCs w:val="18"/>
            </w:rPr>
            <w:id w:val="308599740"/>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280263905"/>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781230211"/>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62979161"/>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228925196"/>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046109521"/>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7811857"/>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69989512"/>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2.3 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Pflanzen</w:t>
            </w:r>
          </w:p>
        </w:tc>
        <w:sdt>
          <w:sdtPr>
            <w:rPr>
              <w:noProof/>
              <w:sz w:val="18"/>
              <w:szCs w:val="18"/>
            </w:rPr>
            <w:id w:val="202993487"/>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041784589"/>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4185462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72099593"/>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58039362"/>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0319461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353651128"/>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78250595"/>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2.4 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Boden</w:t>
            </w:r>
          </w:p>
        </w:tc>
        <w:sdt>
          <w:sdtPr>
            <w:rPr>
              <w:noProof/>
              <w:sz w:val="18"/>
              <w:szCs w:val="18"/>
            </w:rPr>
            <w:id w:val="-1554227582"/>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84135618"/>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969171237"/>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985931962"/>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82727670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73354802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317878310"/>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40062384"/>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2.5 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Wasser</w:t>
            </w:r>
          </w:p>
        </w:tc>
        <w:sdt>
          <w:sdtPr>
            <w:rPr>
              <w:noProof/>
              <w:sz w:val="18"/>
              <w:szCs w:val="18"/>
            </w:rPr>
            <w:id w:val="775837291"/>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680018989"/>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21095383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2012022604"/>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090851987"/>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976371562"/>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675548129"/>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015501300"/>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2.6 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Luft</w:t>
            </w:r>
          </w:p>
        </w:tc>
        <w:sdt>
          <w:sdtPr>
            <w:rPr>
              <w:noProof/>
              <w:sz w:val="18"/>
              <w:szCs w:val="18"/>
            </w:rPr>
            <w:id w:val="-957106617"/>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153210147"/>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973995"/>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540207525"/>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692830058"/>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33528794"/>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906263177"/>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95493786"/>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2.7 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Klima</w:t>
            </w:r>
          </w:p>
        </w:tc>
        <w:sdt>
          <w:sdtPr>
            <w:rPr>
              <w:noProof/>
              <w:sz w:val="18"/>
              <w:szCs w:val="18"/>
            </w:rPr>
            <w:id w:val="636529188"/>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321580212"/>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52835014"/>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06949851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552080983"/>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573229385"/>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304145536"/>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93619932"/>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2.8 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Landschaft</w:t>
            </w:r>
          </w:p>
        </w:tc>
        <w:sdt>
          <w:sdtPr>
            <w:rPr>
              <w:noProof/>
              <w:sz w:val="18"/>
              <w:szCs w:val="18"/>
            </w:rPr>
            <w:id w:val="-2065403389"/>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772973427"/>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89478280"/>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916123074"/>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674575296"/>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878966933"/>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896997813"/>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395847256"/>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r w:rsidR="005073D9" w:rsidRPr="005073D9" w:rsidTr="00DB26B0">
        <w:trPr>
          <w:cantSplit/>
          <w:trHeight w:val="278"/>
        </w:trPr>
        <w:tc>
          <w:tcPr>
            <w:tcW w:w="1560" w:type="dxa"/>
          </w:tcPr>
          <w:p w:rsidR="005073D9" w:rsidRPr="005073D9" w:rsidRDefault="005073D9" w:rsidP="005073D9">
            <w:pPr>
              <w:rPr>
                <w:rFonts w:ascii="Arial" w:hAnsi="Arial" w:cs="Arial"/>
                <w:sz w:val="18"/>
                <w:szCs w:val="18"/>
              </w:rPr>
            </w:pPr>
            <w:r w:rsidRPr="005073D9">
              <w:rPr>
                <w:rFonts w:ascii="Arial" w:hAnsi="Arial" w:cs="Arial"/>
                <w:sz w:val="18"/>
                <w:szCs w:val="18"/>
              </w:rPr>
              <w:t>2.9 </w:t>
            </w:r>
          </w:p>
        </w:tc>
        <w:tc>
          <w:tcPr>
            <w:tcW w:w="1845" w:type="dxa"/>
          </w:tcPr>
          <w:p w:rsidR="005073D9" w:rsidRPr="005073D9" w:rsidRDefault="005073D9" w:rsidP="005073D9">
            <w:pPr>
              <w:rPr>
                <w:rFonts w:ascii="Arial" w:hAnsi="Arial" w:cs="Arial"/>
                <w:sz w:val="18"/>
                <w:szCs w:val="18"/>
              </w:rPr>
            </w:pPr>
            <w:r w:rsidRPr="005073D9">
              <w:rPr>
                <w:rFonts w:ascii="Arial" w:hAnsi="Arial" w:cs="Arial"/>
                <w:sz w:val="18"/>
                <w:szCs w:val="18"/>
              </w:rPr>
              <w:t>Kultur- und sonstige Sachgüter</w:t>
            </w:r>
          </w:p>
        </w:tc>
        <w:sdt>
          <w:sdtPr>
            <w:rPr>
              <w:noProof/>
              <w:sz w:val="18"/>
              <w:szCs w:val="18"/>
            </w:rPr>
            <w:id w:val="-1549833747"/>
            <w14:checkbox>
              <w14:checked w14:val="0"/>
              <w14:checkedState w14:val="2612" w14:font="MS Gothic"/>
              <w14:uncheckedState w14:val="2610" w14:font="MS Gothic"/>
            </w14:checkbox>
          </w:sdtPr>
          <w:sdtEndPr/>
          <w:sdtContent>
            <w:tc>
              <w:tcPr>
                <w:tcW w:w="683"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401255493"/>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729889526"/>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103038174"/>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58710941"/>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619923704"/>
            <w14:checkbox>
              <w14:checked w14:val="0"/>
              <w14:checkedState w14:val="2612" w14:font="MS Gothic"/>
              <w14:uncheckedState w14:val="2610" w14:font="MS Gothic"/>
            </w14:checkbox>
          </w:sdtPr>
          <w:sdtEndPr/>
          <w:sdtContent>
            <w:tc>
              <w:tcPr>
                <w:tcW w:w="782"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1515257337"/>
            <w14:checkbox>
              <w14:checked w14:val="0"/>
              <w14:checkedState w14:val="2612" w14:font="MS Gothic"/>
              <w14:uncheckedState w14:val="2610" w14:font="MS Gothic"/>
            </w14:checkbox>
          </w:sdtPr>
          <w:sdtEndPr/>
          <w:sdtContent>
            <w:tc>
              <w:tcPr>
                <w:tcW w:w="786" w:type="dxa"/>
                <w:vAlign w:val="center"/>
              </w:tcPr>
              <w:p w:rsidR="005073D9" w:rsidRPr="005073D9" w:rsidRDefault="005073D9" w:rsidP="005073D9">
                <w:pPr>
                  <w:ind w:left="113" w:hanging="194"/>
                  <w:jc w:val="center"/>
                  <w:rPr>
                    <w:rFonts w:ascii="Arial" w:hAnsi="Arial" w:cs="Arial"/>
                    <w:noProof/>
                    <w:sz w:val="18"/>
                    <w:szCs w:val="18"/>
                  </w:rPr>
                </w:pPr>
                <w:r w:rsidRPr="005073D9">
                  <w:rPr>
                    <w:rFonts w:ascii="MS Gothic" w:eastAsia="MS Gothic" w:hAnsi="MS Gothic" w:cs="MS Gothic" w:hint="eastAsia"/>
                    <w:noProof/>
                    <w:sz w:val="18"/>
                    <w:szCs w:val="18"/>
                  </w:rPr>
                  <w:t>☐</w:t>
                </w:r>
              </w:p>
            </w:tc>
          </w:sdtContent>
        </w:sdt>
        <w:sdt>
          <w:sdtPr>
            <w:rPr>
              <w:noProof/>
              <w:sz w:val="18"/>
              <w:szCs w:val="18"/>
            </w:rPr>
            <w:id w:val="-654842642"/>
            <w14:checkbox>
              <w14:checked w14:val="1"/>
              <w14:checkedState w14:val="2612" w14:font="MS Gothic"/>
              <w14:uncheckedState w14:val="2610" w14:font="MS Gothic"/>
            </w14:checkbox>
          </w:sdtPr>
          <w:sdtEndPr/>
          <w:sdtContent>
            <w:tc>
              <w:tcPr>
                <w:tcW w:w="782" w:type="dxa"/>
                <w:vAlign w:val="center"/>
              </w:tcPr>
              <w:p w:rsidR="005073D9" w:rsidRPr="005073D9" w:rsidRDefault="001E59CD" w:rsidP="005073D9">
                <w:pPr>
                  <w:ind w:left="113" w:hanging="194"/>
                  <w:jc w:val="center"/>
                  <w:rPr>
                    <w:rFonts w:ascii="Arial" w:hAnsi="Arial" w:cs="Arial"/>
                    <w:noProof/>
                    <w:sz w:val="18"/>
                    <w:szCs w:val="18"/>
                  </w:rPr>
                </w:pPr>
                <w:r>
                  <w:rPr>
                    <w:rFonts w:ascii="MS Gothic" w:eastAsia="MS Gothic" w:hAnsi="MS Gothic" w:hint="eastAsia"/>
                    <w:noProof/>
                    <w:sz w:val="18"/>
                    <w:szCs w:val="18"/>
                  </w:rPr>
                  <w:t>☒</w:t>
                </w:r>
              </w:p>
            </w:tc>
          </w:sdtContent>
        </w:sdt>
      </w:tr>
    </w:tbl>
    <w:p w:rsidR="009731CC" w:rsidRDefault="009731CC" w:rsidP="009731CC">
      <w:pPr>
        <w:rPr>
          <w:noProof/>
        </w:rPr>
      </w:pPr>
    </w:p>
    <w:p w:rsidR="00EE0BD5" w:rsidRDefault="00DA1E1E" w:rsidP="00EE0BD5">
      <w:pPr>
        <w:jc w:val="center"/>
        <w:rPr>
          <w:noProof/>
        </w:rPr>
      </w:pPr>
      <w:r w:rsidRPr="006D597E">
        <w:rPr>
          <w:b/>
          <w:noProof/>
        </w:rPr>
        <w:t>Begründung</w:t>
      </w:r>
    </w:p>
    <w:p w:rsidR="005073D9" w:rsidRDefault="00DA1E1E" w:rsidP="00EE0BD5">
      <w:pPr>
        <w:jc w:val="center"/>
        <w:rPr>
          <w:noProof/>
        </w:rPr>
      </w:pPr>
      <w:r>
        <w:rPr>
          <w:noProof/>
        </w:rPr>
        <w:t>weshalb erhebliche nachteilige Auswirk</w:t>
      </w:r>
      <w:r w:rsidRPr="00DA1E1E">
        <w:rPr>
          <w:noProof/>
        </w:rPr>
        <w:t xml:space="preserve">ungen auf die in § 1 BImSchG genannten Schutzgüter </w:t>
      </w:r>
      <w:r>
        <w:rPr>
          <w:noProof/>
        </w:rPr>
        <w:t xml:space="preserve">nicht </w:t>
      </w:r>
      <w:r w:rsidRPr="00DA1E1E">
        <w:rPr>
          <w:noProof/>
        </w:rPr>
        <w:t>zu besorgen sind</w:t>
      </w:r>
    </w:p>
    <w:p w:rsidR="00494DE7" w:rsidRDefault="00494DE7" w:rsidP="009731CC">
      <w:pPr>
        <w:rPr>
          <w:noProof/>
        </w:rPr>
      </w:pPr>
    </w:p>
    <w:p w:rsidR="008C55E1" w:rsidRDefault="00494DE7" w:rsidP="009731CC">
      <w:pPr>
        <w:rPr>
          <w:noProof/>
        </w:rPr>
      </w:pPr>
      <w:bookmarkStart w:id="0" w:name="_GoBack"/>
      <w:r>
        <w:rPr>
          <w:noProof/>
        </w:rPr>
        <w:t xml:space="preserve">Gegenstand des beantragten Vorhabens ist </w:t>
      </w:r>
      <w:r w:rsidR="00DE7F70" w:rsidRPr="00DE7F70">
        <w:rPr>
          <w:noProof/>
        </w:rPr>
        <w:t>die Ausweitung der Betriebszeit der Gasturbine Block 4 von 88 h/a auf 1500 h/a zur Teilnahme am Kapazitätsreservemarkt; während der Teilnahme am Kapazitätsreservemarkt wird der genehmigte Kessel 4 nicht betrieben</w:t>
      </w:r>
      <w:r w:rsidR="00DE7F70">
        <w:rPr>
          <w:noProof/>
        </w:rPr>
        <w:t>.</w:t>
      </w:r>
    </w:p>
    <w:bookmarkEnd w:id="0"/>
    <w:p w:rsidR="00DE7F70" w:rsidRDefault="00DE7F70" w:rsidP="009731CC">
      <w:pPr>
        <w:rPr>
          <w:noProof/>
        </w:rPr>
      </w:pPr>
    </w:p>
    <w:p w:rsidR="00EE0BD5" w:rsidRDefault="00CD2190" w:rsidP="009731CC">
      <w:pPr>
        <w:rPr>
          <w:noProof/>
        </w:rPr>
      </w:pPr>
      <w:r>
        <w:rPr>
          <w:noProof/>
        </w:rPr>
        <w:t>Zusätzliche erhebliche nachteilige Auswirkungen sind durch die Änderungen nicht zu befürchten.</w:t>
      </w:r>
      <w:r w:rsidR="004B6001">
        <w:rPr>
          <w:noProof/>
        </w:rPr>
        <w:t xml:space="preserve"> </w:t>
      </w:r>
      <w:r w:rsidR="00EE0BD5">
        <w:rPr>
          <w:noProof/>
        </w:rPr>
        <w:t xml:space="preserve">Im Einzelnen: </w:t>
      </w:r>
    </w:p>
    <w:p w:rsidR="00EE0BD5" w:rsidRDefault="00EE0BD5" w:rsidP="009731CC">
      <w:pPr>
        <w:rPr>
          <w:noProof/>
        </w:rPr>
      </w:pPr>
    </w:p>
    <w:p w:rsidR="00EE0BD5" w:rsidRPr="00EE0BD5" w:rsidRDefault="00EE0BD5" w:rsidP="009731CC">
      <w:pPr>
        <w:rPr>
          <w:noProof/>
          <w:u w:val="single"/>
        </w:rPr>
      </w:pPr>
      <w:r w:rsidRPr="00EE0BD5">
        <w:rPr>
          <w:noProof/>
          <w:u w:val="single"/>
        </w:rPr>
        <w:t>Abfälle</w:t>
      </w:r>
    </w:p>
    <w:p w:rsidR="00EE0BD5" w:rsidRDefault="00EE0BD5" w:rsidP="009731CC">
      <w:pPr>
        <w:rPr>
          <w:noProof/>
        </w:rPr>
      </w:pPr>
      <w:r>
        <w:rPr>
          <w:noProof/>
        </w:rPr>
        <w:t xml:space="preserve">Es fallen </w:t>
      </w:r>
      <w:r w:rsidR="00DE7F70">
        <w:rPr>
          <w:noProof/>
        </w:rPr>
        <w:t>keine zusätzlichen A</w:t>
      </w:r>
      <w:r>
        <w:rPr>
          <w:noProof/>
        </w:rPr>
        <w:t xml:space="preserve">bfälle an. Die aus dem </w:t>
      </w:r>
      <w:r w:rsidR="00DE7F70">
        <w:rPr>
          <w:noProof/>
        </w:rPr>
        <w:t xml:space="preserve">Vorhaben </w:t>
      </w:r>
      <w:r>
        <w:rPr>
          <w:noProof/>
        </w:rPr>
        <w:t>resultierenden Änderungen führen nicht zu Änderungen hinsichtlich Art oder Menge von betrieblichen Abfällen</w:t>
      </w:r>
      <w:r w:rsidR="00DE7F70">
        <w:rPr>
          <w:noProof/>
        </w:rPr>
        <w:t>.</w:t>
      </w:r>
    </w:p>
    <w:p w:rsidR="00EE0BD5" w:rsidRDefault="00EE0BD5" w:rsidP="009731CC">
      <w:pPr>
        <w:rPr>
          <w:noProof/>
        </w:rPr>
      </w:pPr>
    </w:p>
    <w:p w:rsidR="004F0B6F" w:rsidRDefault="004F0B6F" w:rsidP="00EE0BD5">
      <w:pPr>
        <w:rPr>
          <w:noProof/>
          <w:u w:val="single"/>
        </w:rPr>
      </w:pPr>
      <w:r w:rsidRPr="00317E31">
        <w:rPr>
          <w:noProof/>
          <w:u w:val="single"/>
        </w:rPr>
        <w:t>Lärm:</w:t>
      </w:r>
    </w:p>
    <w:p w:rsidR="00154717" w:rsidRDefault="00216945" w:rsidP="00C828E4">
      <w:pPr>
        <w:rPr>
          <w:noProof/>
        </w:rPr>
      </w:pPr>
      <w:r w:rsidRPr="00216945">
        <w:rPr>
          <w:noProof/>
        </w:rPr>
        <w:t xml:space="preserve">Das Vorhaben hat keine negativen Auswirkungen auf die zu erwartenden Schallemissionen oder Schallimmissionen der stationären Schallquellen. Eine Vielzahl an technischen Komponenten des Dampfblocks bleiben im Solobetrieb der Gasturbine außer Betrieb. Die </w:t>
      </w:r>
      <w:r w:rsidRPr="00216945">
        <w:rPr>
          <w:noProof/>
        </w:rPr>
        <w:lastRenderedPageBreak/>
        <w:t>Gesamtschallsituation ist somit deutlich geringer als bei einem Volllastbetrieb des gesamten Blockes.</w:t>
      </w:r>
      <w:r>
        <w:rPr>
          <w:noProof/>
        </w:rPr>
        <w:t xml:space="preserve"> </w:t>
      </w:r>
      <w:r w:rsidR="00C828E4">
        <w:rPr>
          <w:noProof/>
        </w:rPr>
        <w:t>Erhebliche nachteilige Umweltauswirkungen durch Lärmemissionen können ausgeschlossen werden.</w:t>
      </w:r>
    </w:p>
    <w:p w:rsidR="00C828E4" w:rsidRDefault="00C828E4" w:rsidP="00C828E4">
      <w:pPr>
        <w:rPr>
          <w:noProof/>
        </w:rPr>
      </w:pPr>
    </w:p>
    <w:p w:rsidR="004237B9" w:rsidRDefault="00052515" w:rsidP="001F680A">
      <w:pPr>
        <w:rPr>
          <w:noProof/>
          <w:u w:val="single"/>
        </w:rPr>
      </w:pPr>
      <w:r>
        <w:rPr>
          <w:noProof/>
          <w:u w:val="single"/>
        </w:rPr>
        <w:t>Luftschadstoffe</w:t>
      </w:r>
      <w:r w:rsidR="004237B9" w:rsidRPr="00317E31">
        <w:rPr>
          <w:noProof/>
          <w:u w:val="single"/>
        </w:rPr>
        <w:t>:</w:t>
      </w:r>
    </w:p>
    <w:p w:rsidR="00340659" w:rsidRDefault="00340659" w:rsidP="00340659">
      <w:pPr>
        <w:rPr>
          <w:noProof/>
        </w:rPr>
      </w:pPr>
      <w:r>
        <w:rPr>
          <w:noProof/>
        </w:rPr>
        <w:t xml:space="preserve">Innerhalb des Immissionsschutz-Gutachtens wurden die Zusatzbelastungen an Stickstoffoxiden, Stichstoffdioxid und Kohlenmonoxid für den geplanten Zustand ermittelt und mit den Anforderun-gen der TA Luft sowie der genehmigten Situation gemäß der Immissionsprognose von 1993 verglichen. </w:t>
      </w:r>
    </w:p>
    <w:p w:rsidR="00340659" w:rsidRDefault="00340659" w:rsidP="00340659">
      <w:pPr>
        <w:spacing w:after="120"/>
        <w:rPr>
          <w:noProof/>
        </w:rPr>
      </w:pPr>
      <w:r>
        <w:rPr>
          <w:noProof/>
        </w:rPr>
        <w:t xml:space="preserve">Im Hinblick auf die Prüfung der Genehmigungsvoraussetzungen weist das vorliegende Gutach-ten eine wesentlich geringere Emission an Luftschadstoffen (NOx, CO, …) im Vergleich mit der vorliegenden Genehmigungslage aus. Die Irrelevanzkriterien für NO2, NOx und CO werden laut Gutachten weit unterschritten. Beim Vergleich des genehmigten zum geplanten Betriebszustand der Großfeuerungsanlage „Block 4“ kommt der Gutachter zu dem Ergebnis, dass der geplanten Zustand (also nur Betrieb der Gasturbine mit 1.500 h/a gegenüber dem Betrieb der Gasturbine mit 88 h/a und dem zeitlich unbegrenzten Betrieb des Dampfkessels) zu einer deutlichen Verbes-serung der Immissionssituation führen wird. </w:t>
      </w:r>
    </w:p>
    <w:p w:rsidR="00216945" w:rsidRDefault="00170AFA" w:rsidP="00216945">
      <w:pPr>
        <w:rPr>
          <w:noProof/>
        </w:rPr>
      </w:pPr>
      <w:r w:rsidRPr="00170AFA">
        <w:rPr>
          <w:noProof/>
        </w:rPr>
        <w:t>Die Schornsteinhöhenberechnung nach TA Luft ergibt eine erforderliche Mindesthöhe des Hilfskamins von 47,3 m. Im Gutachten wird nachvollziehbar dargelegt, dass eine entsprechende Erhöhung des bestehenden Hilfskamins mit einer derzeitigen Höhe von 43,5 m über Grund (also Erhöhung um ca. 4 m) aus technischen Gründen schwierig und aufgrund der zu erwartenden Immissionen deutlich unterhalb der Irrelevanzkriterien auch unverhältnismäßig wäre.</w:t>
      </w:r>
    </w:p>
    <w:p w:rsidR="00170AFA" w:rsidRDefault="00170AFA" w:rsidP="00216945">
      <w:pPr>
        <w:rPr>
          <w:noProof/>
        </w:rPr>
      </w:pPr>
    </w:p>
    <w:p w:rsidR="00154717" w:rsidRPr="000A2FC2" w:rsidRDefault="000A2FC2" w:rsidP="001F680A">
      <w:pPr>
        <w:rPr>
          <w:noProof/>
          <w:u w:val="single"/>
        </w:rPr>
      </w:pPr>
      <w:r w:rsidRPr="000A2FC2">
        <w:rPr>
          <w:noProof/>
          <w:u w:val="single"/>
        </w:rPr>
        <w:t>Anlagensicherheit</w:t>
      </w:r>
    </w:p>
    <w:p w:rsidR="001F680A" w:rsidRDefault="001F680A" w:rsidP="001F680A">
      <w:pPr>
        <w:spacing w:after="120"/>
        <w:rPr>
          <w:noProof/>
        </w:rPr>
      </w:pPr>
      <w:r>
        <w:rPr>
          <w:noProof/>
        </w:rPr>
        <w:t xml:space="preserve">Durch das </w:t>
      </w:r>
      <w:r w:rsidR="00216945">
        <w:rPr>
          <w:noProof/>
        </w:rPr>
        <w:t>Vorhaben</w:t>
      </w:r>
      <w:r>
        <w:rPr>
          <w:noProof/>
        </w:rPr>
        <w:t xml:space="preserve"> entstehen keine sonstigen Gefahren, erhebliche Nachteile oder erhebliche Belästigungen für die Allgemeinheit oder die Nachbarschaft. </w:t>
      </w:r>
      <w:r w:rsidR="00216945">
        <w:rPr>
          <w:noProof/>
        </w:rPr>
        <w:t>Ein erhöhtes Unfallrisiko ist nicht gegeben.</w:t>
      </w:r>
    </w:p>
    <w:p w:rsidR="00C828E4" w:rsidRDefault="00C828E4" w:rsidP="004237B9">
      <w:pPr>
        <w:rPr>
          <w:noProof/>
        </w:rPr>
      </w:pPr>
    </w:p>
    <w:p w:rsidR="00C828E4" w:rsidRPr="00C828E4" w:rsidRDefault="00C828E4" w:rsidP="001F680A">
      <w:pPr>
        <w:rPr>
          <w:noProof/>
          <w:u w:val="single"/>
        </w:rPr>
      </w:pPr>
      <w:r w:rsidRPr="00C828E4">
        <w:rPr>
          <w:noProof/>
          <w:u w:val="single"/>
        </w:rPr>
        <w:t>Naturschutz</w:t>
      </w:r>
    </w:p>
    <w:p w:rsidR="00DE7F70" w:rsidRPr="00DE7F70" w:rsidRDefault="00DE7F70" w:rsidP="001F680A">
      <w:pPr>
        <w:spacing w:after="120"/>
        <w:rPr>
          <w:noProof/>
        </w:rPr>
      </w:pPr>
      <w:r w:rsidRPr="00DE7F70">
        <w:rPr>
          <w:noProof/>
        </w:rPr>
        <w:t xml:space="preserve">NATURA 2000-Gebiete werden durch das Vorhaben nicht beeinträchtigt. </w:t>
      </w:r>
      <w:r>
        <w:rPr>
          <w:noProof/>
        </w:rPr>
        <w:t xml:space="preserve">Ebensowenig die beiden nächstgelegenen Naturschutzgebiete „Petkumer Deichvorland“ und „Bansmeer und Umgebung“, Nationalparks, Biosphärenreservate und Landschaftsschutzgebiete. </w:t>
      </w:r>
    </w:p>
    <w:p w:rsidR="001F680A" w:rsidRPr="00340659" w:rsidRDefault="00B74914" w:rsidP="00DE7F70">
      <w:pPr>
        <w:spacing w:after="120"/>
        <w:rPr>
          <w:noProof/>
        </w:rPr>
      </w:pPr>
      <w:r w:rsidRPr="00340659">
        <w:rPr>
          <w:noProof/>
        </w:rPr>
        <w:t>Alle wasser- bzw. immissionsrechtlichen Grenzwerte und bestehenden Genehmigungen des Gaskraftwerkes können eingehalten werden, so dass keine Auswirkungen auf die Schutz- und Erhaltungsziele zu erwarten sind.</w:t>
      </w:r>
      <w:r w:rsidR="001F680A" w:rsidRPr="00340659">
        <w:rPr>
          <w:noProof/>
        </w:rPr>
        <w:t xml:space="preserve"> </w:t>
      </w:r>
    </w:p>
    <w:p w:rsidR="001F680A" w:rsidRDefault="001F680A" w:rsidP="001F680A">
      <w:pPr>
        <w:rPr>
          <w:noProof/>
        </w:rPr>
      </w:pPr>
      <w:r w:rsidRPr="001F680A">
        <w:rPr>
          <w:noProof/>
        </w:rPr>
        <w:t>A</w:t>
      </w:r>
      <w:r>
        <w:rPr>
          <w:noProof/>
        </w:rPr>
        <w:t xml:space="preserve">us naturschutzfachlicher Sicht bestehen keine Bedenken. </w:t>
      </w:r>
    </w:p>
    <w:p w:rsidR="00E74E3A" w:rsidRDefault="00E74E3A" w:rsidP="00B74914">
      <w:pPr>
        <w:rPr>
          <w:b/>
          <w:noProof/>
        </w:rPr>
      </w:pPr>
    </w:p>
    <w:p w:rsidR="00E74E3A" w:rsidRPr="00B74914" w:rsidRDefault="00E74E3A" w:rsidP="00B74914">
      <w:pPr>
        <w:rPr>
          <w:b/>
          <w:noProof/>
        </w:rPr>
      </w:pPr>
    </w:p>
    <w:p w:rsidR="00DB26B0" w:rsidRPr="00DB26B0" w:rsidRDefault="00DB26B0" w:rsidP="00DB26B0">
      <w:pPr>
        <w:rPr>
          <w:noProof/>
        </w:rPr>
      </w:pPr>
    </w:p>
    <w:p w:rsidR="00154717" w:rsidRDefault="00C828E4" w:rsidP="00DB26B0">
      <w:pPr>
        <w:rPr>
          <w:noProof/>
        </w:rPr>
      </w:pPr>
      <w:r>
        <w:rPr>
          <w:noProof/>
        </w:rPr>
        <w:t>Oldenburg,</w:t>
      </w:r>
      <w:r w:rsidR="00DB26B0" w:rsidRPr="00DB26B0">
        <w:rPr>
          <w:noProof/>
        </w:rPr>
        <w:t xml:space="preserve"> den </w:t>
      </w:r>
      <w:r w:rsidR="00340659">
        <w:rPr>
          <w:noProof/>
        </w:rPr>
        <w:t>2</w:t>
      </w:r>
      <w:r w:rsidR="001F680A">
        <w:rPr>
          <w:noProof/>
        </w:rPr>
        <w:t>8</w:t>
      </w:r>
      <w:r w:rsidR="00B512EC">
        <w:rPr>
          <w:noProof/>
        </w:rPr>
        <w:t>.</w:t>
      </w:r>
      <w:r w:rsidR="00B74914">
        <w:rPr>
          <w:noProof/>
        </w:rPr>
        <w:t>1</w:t>
      </w:r>
      <w:r w:rsidR="00340659">
        <w:rPr>
          <w:noProof/>
        </w:rPr>
        <w:t>1</w:t>
      </w:r>
      <w:r>
        <w:rPr>
          <w:noProof/>
        </w:rPr>
        <w:t>.201</w:t>
      </w:r>
      <w:r w:rsidR="00B512EC">
        <w:rPr>
          <w:noProof/>
        </w:rPr>
        <w:t>9</w:t>
      </w:r>
      <w:r w:rsidR="00DB26B0" w:rsidRPr="00DB26B0">
        <w:rPr>
          <w:noProof/>
        </w:rPr>
        <w:t>......................</w:t>
      </w:r>
      <w:r w:rsidR="00154717">
        <w:rPr>
          <w:noProof/>
        </w:rPr>
        <w:tab/>
      </w:r>
      <w:r w:rsidR="00DB26B0" w:rsidRPr="00DB26B0">
        <w:rPr>
          <w:noProof/>
        </w:rPr>
        <w:t>Im Auf</w:t>
      </w:r>
      <w:r w:rsidR="00DB26B0">
        <w:rPr>
          <w:noProof/>
        </w:rPr>
        <w:t>t</w:t>
      </w:r>
      <w:r w:rsidR="00DB26B0" w:rsidRPr="00DB26B0">
        <w:rPr>
          <w:noProof/>
        </w:rPr>
        <w:t>rage</w:t>
      </w:r>
    </w:p>
    <w:sectPr w:rsidR="00154717" w:rsidSect="009726EC">
      <w:pgSz w:w="11906" w:h="16838"/>
      <w:pgMar w:top="1417" w:right="128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0B5E"/>
    <w:multiLevelType w:val="hybridMultilevel"/>
    <w:tmpl w:val="4A0C2692"/>
    <w:lvl w:ilvl="0" w:tplc="1DCEDE6E">
      <w:start w:val="1"/>
      <w:numFmt w:val="decimal"/>
      <w:lvlText w:val="%1."/>
      <w:lvlJc w:val="left"/>
      <w:pPr>
        <w:ind w:left="786" w:hanging="360"/>
      </w:pPr>
      <w:rPr>
        <w:rFonts w:ascii="Arial" w:hAnsi="Arial" w:cs="Arial" w:hint="default"/>
        <w:b w:val="0"/>
        <w:i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060CE1"/>
    <w:multiLevelType w:val="hybridMultilevel"/>
    <w:tmpl w:val="71925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D2FBC"/>
    <w:multiLevelType w:val="hybridMultilevel"/>
    <w:tmpl w:val="1C347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996733"/>
    <w:multiLevelType w:val="hybridMultilevel"/>
    <w:tmpl w:val="BCC426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407BF4"/>
    <w:multiLevelType w:val="multilevel"/>
    <w:tmpl w:val="4A9A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508AD"/>
    <w:multiLevelType w:val="hybridMultilevel"/>
    <w:tmpl w:val="3182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A2740"/>
    <w:multiLevelType w:val="hybridMultilevel"/>
    <w:tmpl w:val="E2F09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DE"/>
    <w:rsid w:val="00013B6D"/>
    <w:rsid w:val="00017A99"/>
    <w:rsid w:val="00033779"/>
    <w:rsid w:val="00036A17"/>
    <w:rsid w:val="0004726F"/>
    <w:rsid w:val="00052515"/>
    <w:rsid w:val="00052B93"/>
    <w:rsid w:val="00070BDE"/>
    <w:rsid w:val="00096DF9"/>
    <w:rsid w:val="000A2FC2"/>
    <w:rsid w:val="000C0132"/>
    <w:rsid w:val="000C42C4"/>
    <w:rsid w:val="000C60CA"/>
    <w:rsid w:val="000C6948"/>
    <w:rsid w:val="000E0BC2"/>
    <w:rsid w:val="000E2D13"/>
    <w:rsid w:val="000E66C8"/>
    <w:rsid w:val="000E7035"/>
    <w:rsid w:val="000E7719"/>
    <w:rsid w:val="000F530C"/>
    <w:rsid w:val="00143C12"/>
    <w:rsid w:val="00153ABA"/>
    <w:rsid w:val="00154717"/>
    <w:rsid w:val="00157986"/>
    <w:rsid w:val="00170AFA"/>
    <w:rsid w:val="00174670"/>
    <w:rsid w:val="001848C5"/>
    <w:rsid w:val="001A1891"/>
    <w:rsid w:val="001C18CF"/>
    <w:rsid w:val="001C2906"/>
    <w:rsid w:val="001C43F5"/>
    <w:rsid w:val="001C7F90"/>
    <w:rsid w:val="001D10BB"/>
    <w:rsid w:val="001D5DE6"/>
    <w:rsid w:val="001E29C3"/>
    <w:rsid w:val="001E59CD"/>
    <w:rsid w:val="001F3F15"/>
    <w:rsid w:val="001F680A"/>
    <w:rsid w:val="0020689B"/>
    <w:rsid w:val="00216945"/>
    <w:rsid w:val="00216D80"/>
    <w:rsid w:val="00244451"/>
    <w:rsid w:val="002503F4"/>
    <w:rsid w:val="00261659"/>
    <w:rsid w:val="00265CE1"/>
    <w:rsid w:val="002675A3"/>
    <w:rsid w:val="00281259"/>
    <w:rsid w:val="002961B7"/>
    <w:rsid w:val="00297590"/>
    <w:rsid w:val="002A355A"/>
    <w:rsid w:val="002A64B0"/>
    <w:rsid w:val="002D0D17"/>
    <w:rsid w:val="002D55A7"/>
    <w:rsid w:val="002E0998"/>
    <w:rsid w:val="002E14D5"/>
    <w:rsid w:val="003029B2"/>
    <w:rsid w:val="00311920"/>
    <w:rsid w:val="00312916"/>
    <w:rsid w:val="00317E31"/>
    <w:rsid w:val="00324AC2"/>
    <w:rsid w:val="00326789"/>
    <w:rsid w:val="00326B2C"/>
    <w:rsid w:val="00333AE8"/>
    <w:rsid w:val="00340659"/>
    <w:rsid w:val="00347882"/>
    <w:rsid w:val="00352583"/>
    <w:rsid w:val="003578FD"/>
    <w:rsid w:val="003634CC"/>
    <w:rsid w:val="00376F6A"/>
    <w:rsid w:val="00380D8D"/>
    <w:rsid w:val="0038708D"/>
    <w:rsid w:val="0039732D"/>
    <w:rsid w:val="003A20A1"/>
    <w:rsid w:val="003A320E"/>
    <w:rsid w:val="003A4BEF"/>
    <w:rsid w:val="003A7A4E"/>
    <w:rsid w:val="003C25DA"/>
    <w:rsid w:val="003C7F56"/>
    <w:rsid w:val="003D01AA"/>
    <w:rsid w:val="0041059C"/>
    <w:rsid w:val="00412658"/>
    <w:rsid w:val="00417FC0"/>
    <w:rsid w:val="004237B9"/>
    <w:rsid w:val="00432BFE"/>
    <w:rsid w:val="004339D7"/>
    <w:rsid w:val="00443E30"/>
    <w:rsid w:val="0046208D"/>
    <w:rsid w:val="00462485"/>
    <w:rsid w:val="00462A62"/>
    <w:rsid w:val="00494DE7"/>
    <w:rsid w:val="004A15E4"/>
    <w:rsid w:val="004A2D33"/>
    <w:rsid w:val="004B4D59"/>
    <w:rsid w:val="004B6001"/>
    <w:rsid w:val="004C21BA"/>
    <w:rsid w:val="004E2583"/>
    <w:rsid w:val="004E5F4A"/>
    <w:rsid w:val="004E65E4"/>
    <w:rsid w:val="004E74A9"/>
    <w:rsid w:val="004F0384"/>
    <w:rsid w:val="004F0B6F"/>
    <w:rsid w:val="005073D9"/>
    <w:rsid w:val="00513071"/>
    <w:rsid w:val="00533E3D"/>
    <w:rsid w:val="00537456"/>
    <w:rsid w:val="0054036C"/>
    <w:rsid w:val="0054609C"/>
    <w:rsid w:val="00564E99"/>
    <w:rsid w:val="00564F6F"/>
    <w:rsid w:val="00570661"/>
    <w:rsid w:val="00574694"/>
    <w:rsid w:val="005752F5"/>
    <w:rsid w:val="005807D4"/>
    <w:rsid w:val="00594CE3"/>
    <w:rsid w:val="005A1103"/>
    <w:rsid w:val="005C5F38"/>
    <w:rsid w:val="005D6392"/>
    <w:rsid w:val="005E6EE0"/>
    <w:rsid w:val="005F1F5C"/>
    <w:rsid w:val="00600538"/>
    <w:rsid w:val="00605365"/>
    <w:rsid w:val="00607811"/>
    <w:rsid w:val="0062356F"/>
    <w:rsid w:val="00626F99"/>
    <w:rsid w:val="00640348"/>
    <w:rsid w:val="00644550"/>
    <w:rsid w:val="00665820"/>
    <w:rsid w:val="00682978"/>
    <w:rsid w:val="0068702B"/>
    <w:rsid w:val="00697100"/>
    <w:rsid w:val="006A4D15"/>
    <w:rsid w:val="006B47A4"/>
    <w:rsid w:val="006B6696"/>
    <w:rsid w:val="006D597E"/>
    <w:rsid w:val="006E47D3"/>
    <w:rsid w:val="006E6F10"/>
    <w:rsid w:val="007144D1"/>
    <w:rsid w:val="00723B50"/>
    <w:rsid w:val="00747470"/>
    <w:rsid w:val="00747CE7"/>
    <w:rsid w:val="00752732"/>
    <w:rsid w:val="0075376B"/>
    <w:rsid w:val="00754F32"/>
    <w:rsid w:val="00760813"/>
    <w:rsid w:val="00767C8C"/>
    <w:rsid w:val="00780D63"/>
    <w:rsid w:val="007861BC"/>
    <w:rsid w:val="0079497F"/>
    <w:rsid w:val="007C13A7"/>
    <w:rsid w:val="007C2B7B"/>
    <w:rsid w:val="007C6747"/>
    <w:rsid w:val="007D1285"/>
    <w:rsid w:val="007D7D00"/>
    <w:rsid w:val="007F0709"/>
    <w:rsid w:val="007F1123"/>
    <w:rsid w:val="00804536"/>
    <w:rsid w:val="00805DB1"/>
    <w:rsid w:val="00810ABB"/>
    <w:rsid w:val="00813571"/>
    <w:rsid w:val="008137E8"/>
    <w:rsid w:val="00814728"/>
    <w:rsid w:val="00831709"/>
    <w:rsid w:val="00842BA3"/>
    <w:rsid w:val="00846C92"/>
    <w:rsid w:val="00853685"/>
    <w:rsid w:val="0086737C"/>
    <w:rsid w:val="008702CD"/>
    <w:rsid w:val="008825B9"/>
    <w:rsid w:val="00891430"/>
    <w:rsid w:val="00893EA9"/>
    <w:rsid w:val="008B1083"/>
    <w:rsid w:val="008C3C30"/>
    <w:rsid w:val="008C4F59"/>
    <w:rsid w:val="008C55E1"/>
    <w:rsid w:val="008D48D9"/>
    <w:rsid w:val="008E352D"/>
    <w:rsid w:val="008E5A6A"/>
    <w:rsid w:val="008E738F"/>
    <w:rsid w:val="008F31A8"/>
    <w:rsid w:val="0090570A"/>
    <w:rsid w:val="00920F1A"/>
    <w:rsid w:val="00936107"/>
    <w:rsid w:val="00964D0D"/>
    <w:rsid w:val="00966B70"/>
    <w:rsid w:val="00967C3E"/>
    <w:rsid w:val="00970AF9"/>
    <w:rsid w:val="00971E48"/>
    <w:rsid w:val="009731CC"/>
    <w:rsid w:val="00985A67"/>
    <w:rsid w:val="009865BF"/>
    <w:rsid w:val="00987527"/>
    <w:rsid w:val="009A3202"/>
    <w:rsid w:val="009D29BA"/>
    <w:rsid w:val="009F1E37"/>
    <w:rsid w:val="009F4A38"/>
    <w:rsid w:val="00A12980"/>
    <w:rsid w:val="00A17268"/>
    <w:rsid w:val="00A17539"/>
    <w:rsid w:val="00A2326B"/>
    <w:rsid w:val="00A3006B"/>
    <w:rsid w:val="00A506B1"/>
    <w:rsid w:val="00A6347C"/>
    <w:rsid w:val="00A67AFD"/>
    <w:rsid w:val="00A70078"/>
    <w:rsid w:val="00A805C8"/>
    <w:rsid w:val="00A8247D"/>
    <w:rsid w:val="00A83981"/>
    <w:rsid w:val="00A91335"/>
    <w:rsid w:val="00A919BE"/>
    <w:rsid w:val="00AA1085"/>
    <w:rsid w:val="00AA12EF"/>
    <w:rsid w:val="00AD183A"/>
    <w:rsid w:val="00AE43CB"/>
    <w:rsid w:val="00AE6573"/>
    <w:rsid w:val="00B000AF"/>
    <w:rsid w:val="00B000D6"/>
    <w:rsid w:val="00B0213E"/>
    <w:rsid w:val="00B126A0"/>
    <w:rsid w:val="00B13935"/>
    <w:rsid w:val="00B20445"/>
    <w:rsid w:val="00B40745"/>
    <w:rsid w:val="00B512EC"/>
    <w:rsid w:val="00B52484"/>
    <w:rsid w:val="00B55509"/>
    <w:rsid w:val="00B67501"/>
    <w:rsid w:val="00B74914"/>
    <w:rsid w:val="00B777B2"/>
    <w:rsid w:val="00B86067"/>
    <w:rsid w:val="00B91326"/>
    <w:rsid w:val="00B91ECE"/>
    <w:rsid w:val="00B9778C"/>
    <w:rsid w:val="00BA05C6"/>
    <w:rsid w:val="00BA276A"/>
    <w:rsid w:val="00BA6463"/>
    <w:rsid w:val="00BB602E"/>
    <w:rsid w:val="00BB683B"/>
    <w:rsid w:val="00BC38F5"/>
    <w:rsid w:val="00BC5686"/>
    <w:rsid w:val="00BD6C16"/>
    <w:rsid w:val="00BE3C2F"/>
    <w:rsid w:val="00BF75E1"/>
    <w:rsid w:val="00C00D79"/>
    <w:rsid w:val="00C03E03"/>
    <w:rsid w:val="00C11D61"/>
    <w:rsid w:val="00C12EE7"/>
    <w:rsid w:val="00C152D8"/>
    <w:rsid w:val="00C16A37"/>
    <w:rsid w:val="00C174DB"/>
    <w:rsid w:val="00C2748D"/>
    <w:rsid w:val="00C47853"/>
    <w:rsid w:val="00C532E3"/>
    <w:rsid w:val="00C53C62"/>
    <w:rsid w:val="00C677DA"/>
    <w:rsid w:val="00C73CA8"/>
    <w:rsid w:val="00C81293"/>
    <w:rsid w:val="00C828E4"/>
    <w:rsid w:val="00C83F75"/>
    <w:rsid w:val="00C84141"/>
    <w:rsid w:val="00C87C03"/>
    <w:rsid w:val="00CB086A"/>
    <w:rsid w:val="00CB34F5"/>
    <w:rsid w:val="00CB7D29"/>
    <w:rsid w:val="00CD2190"/>
    <w:rsid w:val="00CF3323"/>
    <w:rsid w:val="00D024D1"/>
    <w:rsid w:val="00D1353D"/>
    <w:rsid w:val="00D42D61"/>
    <w:rsid w:val="00D44722"/>
    <w:rsid w:val="00D455DE"/>
    <w:rsid w:val="00D61683"/>
    <w:rsid w:val="00D639ED"/>
    <w:rsid w:val="00D77419"/>
    <w:rsid w:val="00D81E39"/>
    <w:rsid w:val="00D92381"/>
    <w:rsid w:val="00DA1E1E"/>
    <w:rsid w:val="00DA2792"/>
    <w:rsid w:val="00DB08FE"/>
    <w:rsid w:val="00DB26B0"/>
    <w:rsid w:val="00DB4A07"/>
    <w:rsid w:val="00DC213E"/>
    <w:rsid w:val="00DD2031"/>
    <w:rsid w:val="00DD449C"/>
    <w:rsid w:val="00DE0DE2"/>
    <w:rsid w:val="00DE4F45"/>
    <w:rsid w:val="00DE6DF0"/>
    <w:rsid w:val="00DE75DD"/>
    <w:rsid w:val="00DE7948"/>
    <w:rsid w:val="00DE7F70"/>
    <w:rsid w:val="00DF45B3"/>
    <w:rsid w:val="00DF6236"/>
    <w:rsid w:val="00DF66AD"/>
    <w:rsid w:val="00E059C3"/>
    <w:rsid w:val="00E1612A"/>
    <w:rsid w:val="00E24070"/>
    <w:rsid w:val="00E263A7"/>
    <w:rsid w:val="00E351C6"/>
    <w:rsid w:val="00E41C6C"/>
    <w:rsid w:val="00E6493F"/>
    <w:rsid w:val="00E74E3A"/>
    <w:rsid w:val="00E86F22"/>
    <w:rsid w:val="00EA3143"/>
    <w:rsid w:val="00EA641A"/>
    <w:rsid w:val="00EB411D"/>
    <w:rsid w:val="00ED67CC"/>
    <w:rsid w:val="00ED7822"/>
    <w:rsid w:val="00ED7BDC"/>
    <w:rsid w:val="00EE0BD5"/>
    <w:rsid w:val="00EE6D30"/>
    <w:rsid w:val="00F031CB"/>
    <w:rsid w:val="00F14BF8"/>
    <w:rsid w:val="00F158B7"/>
    <w:rsid w:val="00F1735A"/>
    <w:rsid w:val="00F273E8"/>
    <w:rsid w:val="00F36E2B"/>
    <w:rsid w:val="00F46423"/>
    <w:rsid w:val="00F46B40"/>
    <w:rsid w:val="00F50AD9"/>
    <w:rsid w:val="00F5414D"/>
    <w:rsid w:val="00F63307"/>
    <w:rsid w:val="00F72B94"/>
    <w:rsid w:val="00F743D8"/>
    <w:rsid w:val="00F87F07"/>
    <w:rsid w:val="00F954AB"/>
    <w:rsid w:val="00FA009C"/>
    <w:rsid w:val="00FE31C5"/>
    <w:rsid w:val="00FF2E31"/>
    <w:rsid w:val="00FF4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2DD587-EE60-422A-8328-FE6419E5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073D9"/>
    <w:pPr>
      <w:spacing w:line="36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073D9"/>
    <w:rPr>
      <w:rFonts w:ascii="Tahoma" w:hAnsi="Tahoma" w:cs="Tahoma"/>
      <w:sz w:val="16"/>
      <w:szCs w:val="16"/>
    </w:rPr>
  </w:style>
  <w:style w:type="character" w:customStyle="1" w:styleId="SprechblasentextZchn">
    <w:name w:val="Sprechblasentext Zchn"/>
    <w:basedOn w:val="Absatz-Standardschriftart"/>
    <w:link w:val="Sprechblasentext"/>
    <w:rsid w:val="005073D9"/>
    <w:rPr>
      <w:rFonts w:ascii="Tahoma" w:hAnsi="Tahoma" w:cs="Tahoma"/>
      <w:sz w:val="16"/>
      <w:szCs w:val="16"/>
    </w:rPr>
  </w:style>
  <w:style w:type="paragraph" w:styleId="Listenabsatz">
    <w:name w:val="List Paragraph"/>
    <w:basedOn w:val="Standard"/>
    <w:uiPriority w:val="34"/>
    <w:qFormat/>
    <w:rsid w:val="00A67AFD"/>
    <w:pPr>
      <w:ind w:left="720"/>
      <w:contextualSpacing/>
    </w:pPr>
  </w:style>
  <w:style w:type="character" w:styleId="Kommentarzeichen">
    <w:name w:val="annotation reference"/>
    <w:basedOn w:val="Absatz-Standardschriftart"/>
    <w:rsid w:val="00EE6D30"/>
    <w:rPr>
      <w:sz w:val="16"/>
      <w:szCs w:val="16"/>
    </w:rPr>
  </w:style>
  <w:style w:type="paragraph" w:styleId="Kommentartext">
    <w:name w:val="annotation text"/>
    <w:basedOn w:val="Standard"/>
    <w:link w:val="KommentartextZchn"/>
    <w:rsid w:val="00EE6D30"/>
    <w:rPr>
      <w:sz w:val="20"/>
      <w:szCs w:val="20"/>
    </w:rPr>
  </w:style>
  <w:style w:type="character" w:customStyle="1" w:styleId="KommentartextZchn">
    <w:name w:val="Kommentartext Zchn"/>
    <w:basedOn w:val="Absatz-Standardschriftart"/>
    <w:link w:val="Kommentartext"/>
    <w:rsid w:val="00EE6D30"/>
    <w:rPr>
      <w:sz w:val="20"/>
      <w:szCs w:val="20"/>
    </w:rPr>
  </w:style>
  <w:style w:type="paragraph" w:styleId="Kommentarthema">
    <w:name w:val="annotation subject"/>
    <w:basedOn w:val="Kommentartext"/>
    <w:next w:val="Kommentartext"/>
    <w:link w:val="KommentarthemaZchn"/>
    <w:rsid w:val="00EE6D30"/>
    <w:rPr>
      <w:b/>
      <w:bCs/>
    </w:rPr>
  </w:style>
  <w:style w:type="character" w:customStyle="1" w:styleId="KommentarthemaZchn">
    <w:name w:val="Kommentarthema Zchn"/>
    <w:basedOn w:val="KommentartextZchn"/>
    <w:link w:val="Kommentarthema"/>
    <w:rsid w:val="00EE6D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4AE4-84B6-4CA6-88CB-6717055A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Linnemann</dc:creator>
  <cp:lastModifiedBy>Claudia Siebers</cp:lastModifiedBy>
  <cp:revision>2</cp:revision>
  <cp:lastPrinted>2019-11-28T08:46:00Z</cp:lastPrinted>
  <dcterms:created xsi:type="dcterms:W3CDTF">2019-12-16T10:12:00Z</dcterms:created>
  <dcterms:modified xsi:type="dcterms:W3CDTF">2019-12-16T10:12:00Z</dcterms:modified>
</cp:coreProperties>
</file>