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D92" w:rsidRDefault="00584A43" w:rsidP="00844F51">
      <w:pPr>
        <w:spacing w:before="0" w:line="240" w:lineRule="auto"/>
      </w:pPr>
      <w:r>
        <w:t>5130</w:t>
      </w:r>
      <w:r w:rsidR="0080592D">
        <w:t>-</w:t>
      </w:r>
      <w:r w:rsidR="00B87776">
        <w:t>30224</w:t>
      </w:r>
      <w:r w:rsidR="00A17E56">
        <w:t>-</w:t>
      </w:r>
      <w:r>
        <w:t>10</w:t>
      </w:r>
      <w:r w:rsidR="00104201">
        <w:t>3</w:t>
      </w:r>
      <w:r w:rsidR="0080592D">
        <w:tab/>
      </w:r>
      <w:r w:rsidR="0080592D">
        <w:tab/>
      </w:r>
      <w:r w:rsidR="0080592D">
        <w:tab/>
      </w:r>
      <w:r w:rsidR="0080592D">
        <w:tab/>
      </w:r>
      <w:r w:rsidR="002117CA" w:rsidRPr="00AD42D7">
        <w:tab/>
      </w:r>
      <w:r w:rsidR="00740E53" w:rsidRPr="00AD42D7">
        <w:tab/>
      </w:r>
      <w:r w:rsidR="000F4D92" w:rsidRPr="00AD42D7">
        <w:tab/>
      </w:r>
      <w:r w:rsidR="000F4D92" w:rsidRPr="00AD42D7">
        <w:tab/>
      </w:r>
      <w:r w:rsidR="000F4D92" w:rsidRPr="00AD42D7">
        <w:tab/>
      </w:r>
      <w:r w:rsidR="008479C2">
        <w:t xml:space="preserve">      </w:t>
      </w:r>
    </w:p>
    <w:p w:rsidR="00B73977" w:rsidRDefault="00B73977" w:rsidP="00844F51">
      <w:pPr>
        <w:spacing w:before="0" w:line="240" w:lineRule="auto"/>
        <w:rPr>
          <w:highlight w:val="yellow"/>
        </w:rPr>
      </w:pPr>
    </w:p>
    <w:p w:rsidR="000F6B9D" w:rsidRPr="001C4E5D" w:rsidRDefault="000F6B9D" w:rsidP="00844F51">
      <w:pPr>
        <w:spacing w:before="0" w:line="240" w:lineRule="auto"/>
        <w:jc w:val="center"/>
        <w:rPr>
          <w:b/>
        </w:rPr>
      </w:pPr>
      <w:r w:rsidRPr="00BB48C5">
        <w:rPr>
          <w:b/>
          <w:sz w:val="24"/>
        </w:rPr>
        <w:t xml:space="preserve">Allgemeine Vorprüfung des Einzelfalls zur Ermittlung der UVP-Pflicht </w:t>
      </w:r>
    </w:p>
    <w:p w:rsidR="000F6B9D" w:rsidRPr="001C4E5D" w:rsidRDefault="000F6B9D" w:rsidP="00844F51">
      <w:pPr>
        <w:pBdr>
          <w:top w:val="single" w:sz="4" w:space="1" w:color="auto"/>
        </w:pBdr>
        <w:tabs>
          <w:tab w:val="left" w:pos="915"/>
        </w:tabs>
        <w:spacing w:before="0" w:line="240" w:lineRule="auto"/>
      </w:pPr>
      <w:r>
        <w:tab/>
      </w:r>
    </w:p>
    <w:p w:rsidR="000F6B9D" w:rsidRDefault="000F6B9D" w:rsidP="00844F51">
      <w:pPr>
        <w:spacing w:before="0" w:line="240" w:lineRule="auto"/>
      </w:pPr>
      <w:r w:rsidRPr="000F6B9D">
        <w:rPr>
          <w:b/>
        </w:rPr>
        <w:t>Vorhaben:</w:t>
      </w:r>
      <w:r w:rsidRPr="001C4E5D">
        <w:t xml:space="preserve"> </w:t>
      </w:r>
      <w:r w:rsidRPr="001C4E5D">
        <w:tab/>
      </w:r>
    </w:p>
    <w:p w:rsidR="00584A43" w:rsidRPr="007C6E99" w:rsidRDefault="00584A43" w:rsidP="007C6E99">
      <w:pPr>
        <w:pStyle w:val="Listenabsatz"/>
        <w:numPr>
          <w:ilvl w:val="0"/>
          <w:numId w:val="6"/>
        </w:numPr>
        <w:spacing w:before="0" w:line="240" w:lineRule="auto"/>
        <w:rPr>
          <w:b/>
        </w:rPr>
      </w:pPr>
      <w:bookmarkStart w:id="0" w:name="_Hlk47520868"/>
      <w:r>
        <w:rPr>
          <w:b/>
        </w:rPr>
        <w:t>Rückbau einer vorhandenen, zugbeeinflussten Blinklichtanlage mit Einschlagweckern und Lokführerüberwachungssignalen</w:t>
      </w:r>
      <w:bookmarkStart w:id="1" w:name="_Hlk47520920"/>
      <w:bookmarkEnd w:id="0"/>
      <w:r w:rsidR="007C6E99">
        <w:rPr>
          <w:b/>
        </w:rPr>
        <w:t xml:space="preserve"> und E</w:t>
      </w:r>
      <w:r w:rsidRPr="007C6E99">
        <w:rPr>
          <w:b/>
        </w:rPr>
        <w:t>inbau einer zugbeeinflussten Lichtzeichenanlage inkl. Halbschranken, akustischen Warneinrichtungen und Lokführerüberwachungssignalen an dem BÜ</w:t>
      </w:r>
      <w:r w:rsidR="004713DA" w:rsidRPr="007C6E99">
        <w:rPr>
          <w:b/>
        </w:rPr>
        <w:t xml:space="preserve"> </w:t>
      </w:r>
      <w:r w:rsidR="00104201">
        <w:rPr>
          <w:b/>
        </w:rPr>
        <w:t>Scharrel</w:t>
      </w:r>
      <w:r w:rsidRPr="007C6E99">
        <w:rPr>
          <w:b/>
        </w:rPr>
        <w:t xml:space="preserve">, Hauptstraße (Bahn-km </w:t>
      </w:r>
      <w:r w:rsidR="00104201">
        <w:rPr>
          <w:b/>
        </w:rPr>
        <w:t>38</w:t>
      </w:r>
      <w:r w:rsidRPr="007C6E99">
        <w:rPr>
          <w:b/>
        </w:rPr>
        <w:t>,</w:t>
      </w:r>
      <w:r w:rsidR="00104201">
        <w:rPr>
          <w:b/>
        </w:rPr>
        <w:t>285</w:t>
      </w:r>
      <w:r w:rsidRPr="007C6E99">
        <w:rPr>
          <w:b/>
        </w:rPr>
        <w:t>)</w:t>
      </w:r>
    </w:p>
    <w:bookmarkEnd w:id="1"/>
    <w:p w:rsidR="000F6B9D" w:rsidRDefault="000F6B9D" w:rsidP="00584A43">
      <w:pPr>
        <w:pStyle w:val="Listenabsatz"/>
        <w:spacing w:before="0" w:line="240" w:lineRule="auto"/>
        <w:rPr>
          <w:b/>
        </w:rPr>
      </w:pPr>
      <w:r w:rsidRPr="000F6B9D">
        <w:rPr>
          <w:b/>
        </w:rPr>
        <w:t xml:space="preserve"> </w:t>
      </w:r>
    </w:p>
    <w:p w:rsidR="001700B7" w:rsidRPr="005C7AA3" w:rsidRDefault="001700B7" w:rsidP="001700B7">
      <w:pPr>
        <w:pStyle w:val="Listenabsatz"/>
        <w:spacing w:line="240" w:lineRule="auto"/>
        <w:ind w:left="0"/>
        <w:jc w:val="center"/>
        <w:rPr>
          <w:b/>
        </w:rPr>
      </w:pPr>
      <w:r>
        <w:rPr>
          <w:b/>
        </w:rPr>
        <w:t xml:space="preserve">in der </w:t>
      </w:r>
      <w:r w:rsidR="00584A43">
        <w:rPr>
          <w:b/>
        </w:rPr>
        <w:t>Gemeinde Saterland im Landk</w:t>
      </w:r>
      <w:r>
        <w:rPr>
          <w:b/>
        </w:rPr>
        <w:t xml:space="preserve">reis </w:t>
      </w:r>
      <w:r w:rsidR="00584A43">
        <w:rPr>
          <w:b/>
        </w:rPr>
        <w:t>Cloppenburg</w:t>
      </w:r>
      <w:r w:rsidR="006E2544">
        <w:rPr>
          <w:b/>
        </w:rPr>
        <w:t xml:space="preserve">  </w:t>
      </w:r>
    </w:p>
    <w:p w:rsidR="001700B7" w:rsidRDefault="001700B7" w:rsidP="00584A43">
      <w:pPr>
        <w:pStyle w:val="Listenabsatz"/>
        <w:spacing w:line="240" w:lineRule="auto"/>
        <w:ind w:left="0"/>
        <w:jc w:val="center"/>
        <w:rPr>
          <w:b/>
        </w:rPr>
      </w:pPr>
      <w:r w:rsidRPr="001700B7">
        <w:rPr>
          <w:b/>
        </w:rPr>
        <w:t xml:space="preserve">auf der Strecke </w:t>
      </w:r>
      <w:proofErr w:type="spellStart"/>
      <w:r w:rsidR="00584A43">
        <w:rPr>
          <w:b/>
        </w:rPr>
        <w:t>Sedelsberg</w:t>
      </w:r>
      <w:proofErr w:type="spellEnd"/>
      <w:r w:rsidR="00584A43">
        <w:rPr>
          <w:b/>
        </w:rPr>
        <w:t xml:space="preserve">- </w:t>
      </w:r>
      <w:r w:rsidR="006F4085">
        <w:rPr>
          <w:b/>
        </w:rPr>
        <w:t>Westerstede/</w:t>
      </w:r>
      <w:proofErr w:type="spellStart"/>
      <w:r w:rsidR="00584A43">
        <w:rPr>
          <w:b/>
        </w:rPr>
        <w:t>Ochold</w:t>
      </w:r>
      <w:proofErr w:type="spellEnd"/>
    </w:p>
    <w:p w:rsidR="001700B7" w:rsidRDefault="001700B7" w:rsidP="00844F51">
      <w:pPr>
        <w:spacing w:before="0" w:line="240" w:lineRule="auto"/>
      </w:pPr>
    </w:p>
    <w:p w:rsidR="000F6B9D" w:rsidRPr="001C4E5D" w:rsidRDefault="000F6B9D" w:rsidP="00844F51">
      <w:pPr>
        <w:spacing w:before="0" w:line="240" w:lineRule="auto"/>
      </w:pPr>
      <w:r w:rsidRPr="001C4E5D">
        <w:t xml:space="preserve">Träger des Vorhabens: </w:t>
      </w:r>
      <w:r w:rsidRPr="001C4E5D">
        <w:tab/>
      </w:r>
      <w:r w:rsidRPr="001C4E5D">
        <w:tab/>
      </w:r>
      <w:r>
        <w:t>Emsländische Eisenbahn (EEB)</w:t>
      </w:r>
    </w:p>
    <w:p w:rsidR="000F6B9D" w:rsidRPr="001C4E5D" w:rsidRDefault="000F6B9D" w:rsidP="00844F51">
      <w:pPr>
        <w:spacing w:before="0" w:line="240" w:lineRule="auto"/>
      </w:pPr>
      <w:r w:rsidRPr="001C4E5D">
        <w:t xml:space="preserve">Antrag vom: </w:t>
      </w:r>
      <w:r w:rsidRPr="001C4E5D">
        <w:tab/>
      </w:r>
      <w:r w:rsidRPr="001C4E5D">
        <w:tab/>
      </w:r>
      <w:r w:rsidRPr="001C4E5D">
        <w:tab/>
      </w:r>
      <w:r w:rsidRPr="001C4E5D">
        <w:tab/>
      </w:r>
      <w:r w:rsidR="00584A43">
        <w:t>18.05.2020</w:t>
      </w:r>
      <w:r w:rsidRPr="001C4E5D">
        <w:t xml:space="preserve"> </w:t>
      </w:r>
    </w:p>
    <w:p w:rsidR="000F6B9D" w:rsidRDefault="000F6B9D" w:rsidP="00844F51">
      <w:pPr>
        <w:spacing w:before="0" w:line="240" w:lineRule="auto"/>
      </w:pPr>
    </w:p>
    <w:p w:rsidR="000F6B9D" w:rsidRPr="001C4E5D" w:rsidRDefault="000F6B9D" w:rsidP="00844F51">
      <w:pPr>
        <w:spacing w:before="0" w:line="240" w:lineRule="auto"/>
      </w:pPr>
      <w:r w:rsidRPr="001C4E5D">
        <w:t xml:space="preserve">Gemäß § 5 Abs.1 UVPG ist festzustellen, ob nach den §§ 6 bis 14 für das Vorhaben eine Pflicht zur Durchführung einer Umweltverträglichkeitsprüfung (UVP-Pflicht) besteht oder nicht. </w:t>
      </w:r>
    </w:p>
    <w:p w:rsidR="000F6B9D" w:rsidRDefault="000F6B9D" w:rsidP="00844F51">
      <w:pPr>
        <w:spacing w:before="0" w:line="240" w:lineRule="auto"/>
      </w:pPr>
    </w:p>
    <w:p w:rsidR="000F6B9D" w:rsidRPr="000F6B9D" w:rsidRDefault="000F6B9D" w:rsidP="00844F51">
      <w:pPr>
        <w:spacing w:before="0" w:line="240" w:lineRule="auto"/>
      </w:pPr>
      <w:r w:rsidRPr="000F6B9D">
        <w:t>Das Vorhaben beinhaltet</w:t>
      </w:r>
    </w:p>
    <w:p w:rsidR="005C51F6" w:rsidRPr="005C51F6" w:rsidRDefault="005C51F6" w:rsidP="007C6E99">
      <w:pPr>
        <w:pStyle w:val="Listenabsatz"/>
        <w:numPr>
          <w:ilvl w:val="0"/>
          <w:numId w:val="8"/>
        </w:numPr>
      </w:pPr>
      <w:r>
        <w:t xml:space="preserve">den </w:t>
      </w:r>
      <w:r w:rsidRPr="005C51F6">
        <w:t>Rückbau einer vorhandenen, zugbeeinflussten Blinklichtanlage mit Einschlagweckern und Lokführerüberwachungssignalen</w:t>
      </w:r>
      <w:r>
        <w:t xml:space="preserve"> und</w:t>
      </w:r>
      <w:r w:rsidR="007C6E99">
        <w:t xml:space="preserve"> </w:t>
      </w:r>
      <w:r w:rsidRPr="005C51F6">
        <w:t xml:space="preserve">Einbau einer zugbeeinflussten Lichtzeichenanlage inkl. Halbschranken, akustischen Warneinrichtungen und Lokführerüberwachungssignalen an dem BÜ </w:t>
      </w:r>
      <w:r w:rsidR="00D33E0F">
        <w:t>Scharrel</w:t>
      </w:r>
      <w:r w:rsidRPr="005C51F6">
        <w:t xml:space="preserve">, Hauptstraße (Bahn-km </w:t>
      </w:r>
      <w:r w:rsidR="00D33E0F">
        <w:t>38</w:t>
      </w:r>
      <w:r w:rsidRPr="005C51F6">
        <w:t>,</w:t>
      </w:r>
      <w:r w:rsidR="00D33E0F">
        <w:t>285</w:t>
      </w:r>
      <w:bookmarkStart w:id="2" w:name="_GoBack"/>
      <w:bookmarkEnd w:id="2"/>
      <w:r w:rsidRPr="005C51F6">
        <w:t>)</w:t>
      </w:r>
      <w:r>
        <w:t>.</w:t>
      </w:r>
    </w:p>
    <w:p w:rsidR="005C51F6" w:rsidRDefault="005C51F6" w:rsidP="005C51F6">
      <w:pPr>
        <w:spacing w:before="0" w:line="240" w:lineRule="auto"/>
      </w:pPr>
    </w:p>
    <w:p w:rsidR="00B73977" w:rsidRDefault="00B73977" w:rsidP="00B73977">
      <w:pPr>
        <w:pStyle w:val="Listenabsatz"/>
        <w:spacing w:before="0" w:line="240" w:lineRule="auto"/>
      </w:pPr>
    </w:p>
    <w:p w:rsidR="00A83659" w:rsidRDefault="004713DA" w:rsidP="00844F51">
      <w:pPr>
        <w:spacing w:before="0" w:line="240" w:lineRule="auto"/>
      </w:pPr>
      <w:r w:rsidRPr="005C51F6">
        <w:t>§ 9 UVPG regelt die UVP-Pf</w:t>
      </w:r>
      <w:r w:rsidR="00AE392E" w:rsidRPr="005C51F6">
        <w:t>licht bei Änderungsvorhaben. Die</w:t>
      </w:r>
      <w:r w:rsidRPr="005C51F6">
        <w:t xml:space="preserve"> beantragte</w:t>
      </w:r>
      <w:r w:rsidR="00AE392E" w:rsidRPr="005C51F6">
        <w:t>n</w:t>
      </w:r>
      <w:r w:rsidRPr="005C51F6">
        <w:t xml:space="preserve"> Vorhaben stell</w:t>
      </w:r>
      <w:r w:rsidR="00AE392E" w:rsidRPr="005C51F6">
        <w:t>en</w:t>
      </w:r>
      <w:r w:rsidRPr="005C51F6">
        <w:t xml:space="preserve"> nach Ziffer 14.</w:t>
      </w:r>
      <w:r w:rsidR="005C51F6" w:rsidRPr="005C51F6">
        <w:t>8</w:t>
      </w:r>
      <w:r w:rsidRPr="005C51F6">
        <w:t xml:space="preserve"> der Anlage 1</w:t>
      </w:r>
      <w:r w:rsidR="005C51F6" w:rsidRPr="005C51F6">
        <w:t xml:space="preserve"> des UVPG</w:t>
      </w:r>
      <w:r w:rsidRPr="005C51F6">
        <w:t xml:space="preserve"> den Bau</w:t>
      </w:r>
      <w:r w:rsidR="00A83659" w:rsidRPr="00A83659">
        <w:t xml:space="preserve"> einer sonstigen Betriebsanlage von Eisenbahnen, insbesondere einer intermodalen Umschlagsanlage oder eines Terminals für Eisenbahnen, soweit der Bau nicht Teil des Baues eines Schienenweges nach Nummer 14.7 ist;</w:t>
      </w:r>
      <w:r w:rsidRPr="005C51F6">
        <w:t xml:space="preserve"> wonach das Vorhaben </w:t>
      </w:r>
      <w:r w:rsidR="00A83659">
        <w:t>eine Vorprüfung des Einzelfalls erfordert.</w:t>
      </w:r>
    </w:p>
    <w:p w:rsidR="00A83659" w:rsidRDefault="00A83659" w:rsidP="00844F51">
      <w:pPr>
        <w:spacing w:before="0" w:line="240" w:lineRule="auto"/>
      </w:pPr>
    </w:p>
    <w:p w:rsidR="004713DA" w:rsidRPr="005C51F6" w:rsidRDefault="004713DA" w:rsidP="00844F51">
      <w:pPr>
        <w:spacing w:before="0" w:line="240" w:lineRule="auto"/>
      </w:pPr>
      <w:r w:rsidRPr="005C51F6">
        <w:t xml:space="preserve">Größen- und Leistungswerte oder Prüfwerte nach Anlage 1 zum UVPG sind für das Änderungsvorhaben nicht vorgesehen. Mithin ist </w:t>
      </w:r>
      <w:r w:rsidRPr="00CB42D6">
        <w:t xml:space="preserve">nach § 9 Abs. 3 Nr. 1 UVPG eine </w:t>
      </w:r>
      <w:r w:rsidRPr="005C51F6">
        <w:t>Vorprüfung zur Feststellung der UVP-Pflicht durchzuführen. Die UVP-Pflicht besteht, wenn die Vorprüfung ergibt, dass die Änderung erhebliche nachteilige Umweltauswirkungen hervorrufen kann (§ 9 Abs. 3 Satz 2 UVPG). Bestehende Vorhaben sind hier als Vorbelastung zu berücksichtigen.</w:t>
      </w:r>
    </w:p>
    <w:p w:rsidR="004713DA" w:rsidRPr="005C51F6" w:rsidRDefault="004713DA" w:rsidP="00844F51">
      <w:pPr>
        <w:spacing w:before="0" w:line="240" w:lineRule="auto"/>
      </w:pPr>
    </w:p>
    <w:p w:rsidR="004713DA" w:rsidRDefault="004713DA" w:rsidP="00844F51">
      <w:pPr>
        <w:spacing w:before="0" w:line="240" w:lineRule="auto"/>
      </w:pPr>
      <w:r w:rsidRPr="005C51F6">
        <w:t>Für die Vorprüfung bei Änderungsvorhaben gilt § 7</w:t>
      </w:r>
      <w:r w:rsidR="00105C84" w:rsidRPr="005C51F6">
        <w:t xml:space="preserve"> UVPG</w:t>
      </w:r>
      <w:r w:rsidRPr="005C51F6">
        <w:t xml:space="preserve"> entsprechend. Die allgemeine Vorprüfung wird als überschlägige Prüfung unter Berücksichtigung der in Anlage 3 aufgeführten Kriterien durchgeführt.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w:t>
      </w:r>
      <w:r w:rsidRPr="001C4E5D">
        <w:t xml:space="preserve"> </w:t>
      </w:r>
      <w:r w:rsidRPr="001C4E5D">
        <w:lastRenderedPageBreak/>
        <w:t xml:space="preserve">Untersuchungen zu den Umweltauswirkungen des Vorhabens vor, bezieht sie diese Ergebnisse in die Vorprüfung ein. </w:t>
      </w:r>
    </w:p>
    <w:p w:rsidR="004713DA" w:rsidRPr="001C4E5D" w:rsidRDefault="004713DA" w:rsidP="00844F51">
      <w:pPr>
        <w:spacing w:before="0" w:line="240" w:lineRule="auto"/>
      </w:pPr>
    </w:p>
    <w:p w:rsidR="004713DA" w:rsidRPr="001C4E5D" w:rsidRDefault="004713DA" w:rsidP="00844F51">
      <w:pPr>
        <w:spacing w:before="0" w:line="240" w:lineRule="auto"/>
        <w:rPr>
          <w:b/>
        </w:rPr>
      </w:pPr>
      <w:r w:rsidRPr="001C4E5D">
        <w:rPr>
          <w:b/>
        </w:rPr>
        <w:t>Merkmale des Vorhabens und des Standorts:</w:t>
      </w:r>
    </w:p>
    <w:p w:rsidR="00E15C1E" w:rsidRDefault="00673D33" w:rsidP="00844F51">
      <w:pPr>
        <w:spacing w:before="0" w:line="240" w:lineRule="auto"/>
      </w:pPr>
      <w:r>
        <w:t>Derzeit ist der BÜ „</w:t>
      </w:r>
      <w:r w:rsidR="00E15C1E">
        <w:t>Ramsloh</w:t>
      </w:r>
      <w:r>
        <w:t xml:space="preserve">“ lediglich durch eine </w:t>
      </w:r>
      <w:r w:rsidR="00E15C1E">
        <w:t>Blinklicht</w:t>
      </w:r>
      <w:r>
        <w:t>anlage gesichert.</w:t>
      </w:r>
    </w:p>
    <w:p w:rsidR="007C6E99" w:rsidRDefault="00673D33" w:rsidP="00844F51">
      <w:pPr>
        <w:spacing w:before="0" w:line="240" w:lineRule="auto"/>
      </w:pPr>
      <w:r w:rsidRPr="007C6E99">
        <w:t>Die Sicherungstechnik des B</w:t>
      </w:r>
      <w:r w:rsidR="0060537E" w:rsidRPr="007C6E99">
        <w:t>Ü</w:t>
      </w:r>
      <w:r w:rsidRPr="007C6E99">
        <w:t xml:space="preserve"> ist so eingerichtet, dass </w:t>
      </w:r>
      <w:r w:rsidR="00E15C1E" w:rsidRPr="007C6E99">
        <w:t>dieser durch Andreaskreuze angekündigt und durch eine zugbeeinflusste Blinklichtanlage gesichert wird. Die vorhandene Blinklichtanlage wurde am 2</w:t>
      </w:r>
      <w:r w:rsidR="00104201">
        <w:t>7</w:t>
      </w:r>
      <w:r w:rsidR="00E15C1E" w:rsidRPr="007C6E99">
        <w:t>.</w:t>
      </w:r>
      <w:r w:rsidR="00104201">
        <w:t>10</w:t>
      </w:r>
      <w:r w:rsidR="00E15C1E" w:rsidRPr="007C6E99">
        <w:t>.19</w:t>
      </w:r>
      <w:r w:rsidR="00104201">
        <w:t>69</w:t>
      </w:r>
      <w:r w:rsidR="00E15C1E" w:rsidRPr="007C6E99">
        <w:t xml:space="preserve"> durch die Deutsche Bundesbahn, BD Münster geprüft und in Betrieb genommen.</w:t>
      </w:r>
    </w:p>
    <w:p w:rsidR="00241FF8" w:rsidRPr="007C6E99" w:rsidRDefault="00241FF8" w:rsidP="00844F51">
      <w:pPr>
        <w:spacing w:before="0" w:line="240" w:lineRule="auto"/>
      </w:pPr>
    </w:p>
    <w:p w:rsidR="009B2685" w:rsidRDefault="00701A37" w:rsidP="00844F51">
      <w:pPr>
        <w:spacing w:before="0" w:line="240" w:lineRule="auto"/>
      </w:pPr>
      <w:r>
        <w:t>Die Bahnübergangsicherungsanlage des BÜ „</w:t>
      </w:r>
      <w:r w:rsidR="00104201">
        <w:t>Scharrel</w:t>
      </w:r>
      <w:r>
        <w:t>“</w:t>
      </w:r>
      <w:r w:rsidR="00D0702B">
        <w:t xml:space="preserve"> soll</w:t>
      </w:r>
      <w:r>
        <w:t xml:space="preserve"> </w:t>
      </w:r>
      <w:r w:rsidR="009B2685">
        <w:t xml:space="preserve">mit </w:t>
      </w:r>
      <w:r w:rsidR="007C6E99">
        <w:t xml:space="preserve">einer zugbeeinflussten </w:t>
      </w:r>
      <w:r w:rsidR="009B2685">
        <w:t>LED Lichtzeichen</w:t>
      </w:r>
      <w:r w:rsidR="007C6E99">
        <w:t>anlage mit Überwachungssignalen</w:t>
      </w:r>
      <w:r w:rsidR="009B2685">
        <w:t xml:space="preserve"> sowie</w:t>
      </w:r>
      <w:r w:rsidR="00D0702B">
        <w:t xml:space="preserve"> mit Halbschranken</w:t>
      </w:r>
      <w:r w:rsidR="007C6E99">
        <w:t xml:space="preserve"> und akustischen Warneinrichtungen für Fußgänger und Radfahrer ausgestattet</w:t>
      </w:r>
      <w:r w:rsidR="00D0702B">
        <w:t xml:space="preserve"> </w:t>
      </w:r>
      <w:r w:rsidR="009B2685">
        <w:t xml:space="preserve">werden. </w:t>
      </w:r>
      <w:r w:rsidR="007C6E99">
        <w:t xml:space="preserve">Des Weiteren </w:t>
      </w:r>
      <w:r w:rsidR="009B2685">
        <w:t>soll</w:t>
      </w:r>
      <w:r w:rsidR="007C6E99">
        <w:t xml:space="preserve"> die Verkabelung der Straßensignale erneuert werden.</w:t>
      </w:r>
      <w:r w:rsidR="00D0702B">
        <w:t xml:space="preserve"> </w:t>
      </w:r>
    </w:p>
    <w:p w:rsidR="00843E92" w:rsidRDefault="00843E92" w:rsidP="00844F51">
      <w:pPr>
        <w:spacing w:before="0" w:line="240" w:lineRule="auto"/>
      </w:pPr>
    </w:p>
    <w:p w:rsidR="004713DA" w:rsidRDefault="003562E5" w:rsidP="00844F51">
      <w:pPr>
        <w:spacing w:before="0" w:line="240" w:lineRule="auto"/>
      </w:pPr>
      <w:r>
        <w:t xml:space="preserve">Die geschätzte Bauzeit wird mit 4 </w:t>
      </w:r>
      <w:r w:rsidR="007C6E99">
        <w:t>Monate</w:t>
      </w:r>
      <w:r>
        <w:t xml:space="preserve"> angegeben</w:t>
      </w:r>
      <w:r w:rsidR="007C6E99">
        <w:t xml:space="preserve"> und der Umfang der Erdarbeiten wird auf 3m</w:t>
      </w:r>
      <w:r w:rsidR="007C6E99">
        <w:rPr>
          <w:vertAlign w:val="superscript"/>
        </w:rPr>
        <w:t>3</w:t>
      </w:r>
      <w:r w:rsidR="007C6E99">
        <w:t xml:space="preserve"> geschätzt</w:t>
      </w:r>
      <w:r w:rsidR="007C6E99">
        <w:rPr>
          <w:vertAlign w:val="superscript"/>
        </w:rPr>
        <w:t>.</w:t>
      </w:r>
    </w:p>
    <w:p w:rsidR="004713DA" w:rsidRPr="001C4E5D" w:rsidRDefault="004713DA" w:rsidP="00844F51">
      <w:pPr>
        <w:spacing w:before="0" w:line="240" w:lineRule="auto"/>
      </w:pPr>
    </w:p>
    <w:p w:rsidR="004713DA" w:rsidRPr="00B57A49" w:rsidRDefault="004713DA" w:rsidP="00844F51">
      <w:pPr>
        <w:spacing w:before="0" w:line="240" w:lineRule="auto"/>
        <w:rPr>
          <w:color w:val="FF0000"/>
        </w:rPr>
      </w:pPr>
      <w:r w:rsidRPr="001C4E5D">
        <w:t>Gebiete mit Schutzstatus oder faunistisch wertvolle Bereiche liegen nicht im Auswirkungsbereich des Vorhabens</w:t>
      </w:r>
      <w:r w:rsidR="00CD2D8D">
        <w:rPr>
          <w:color w:val="FF0000"/>
        </w:rPr>
        <w:t>.</w:t>
      </w:r>
      <w:r w:rsidR="00680B9D">
        <w:rPr>
          <w:color w:val="FF0000"/>
        </w:rPr>
        <w:t xml:space="preserve">  </w:t>
      </w:r>
    </w:p>
    <w:p w:rsidR="004713DA" w:rsidRPr="001C4E5D" w:rsidRDefault="004713DA" w:rsidP="00844F51">
      <w:pPr>
        <w:spacing w:before="0" w:line="240" w:lineRule="auto"/>
      </w:pPr>
    </w:p>
    <w:p w:rsidR="004713DA" w:rsidRDefault="004713DA" w:rsidP="00844F51">
      <w:pPr>
        <w:spacing w:before="0" w:line="240" w:lineRule="auto"/>
      </w:pPr>
      <w:r w:rsidRPr="001C4E5D">
        <w:t>D</w:t>
      </w:r>
      <w:r w:rsidR="00085F0B">
        <w:t>er</w:t>
      </w:r>
      <w:r w:rsidRPr="001C4E5D">
        <w:t xml:space="preserve"> Vorhabensträge</w:t>
      </w:r>
      <w:r w:rsidR="00085F0B">
        <w:t>r</w:t>
      </w:r>
      <w:r w:rsidRPr="001C4E5D">
        <w:t xml:space="preserve"> hat mit dem Antrag geeignete Angaben zu den Merkmalen des Vorhabens und des Standorts sowie zu den möglichen (erheblichen) Umweltauswirkungen des Vorhabens übermittelt und die möglichen Auswirkungen des Vorhabens auf die Schutzgüter schlüssig dargestellt.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t xml:space="preserve">Grundlage für die Prüfung sind die von der Vorhabensträgerin eingereichten Unterlagen. Danach werden Art und Merkmale der Auswirkungen im Rahmen der überschlägigen Prüfung wie folgt beurteilt: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rPr>
          <w:u w:val="single"/>
        </w:rPr>
        <w:t>Schutzgut Mensch:</w:t>
      </w:r>
      <w:r w:rsidRPr="001C4E5D">
        <w:t xml:space="preserve"> </w:t>
      </w:r>
    </w:p>
    <w:p w:rsidR="004713DA" w:rsidRPr="00680B9D" w:rsidRDefault="00BD34B0" w:rsidP="00844F51">
      <w:pPr>
        <w:spacing w:before="0" w:line="240" w:lineRule="auto"/>
        <w:rPr>
          <w:color w:val="FF0000"/>
        </w:rPr>
      </w:pPr>
      <w:r>
        <w:t>Mögliche</w:t>
      </w:r>
      <w:r w:rsidR="004713DA" w:rsidRPr="001C4E5D">
        <w:t xml:space="preserve"> Belastungen durch die Baumaßnahmen (Lärm, Staub) sind </w:t>
      </w:r>
      <w:r w:rsidR="00186374">
        <w:t>nicht gegeben</w:t>
      </w:r>
      <w:r w:rsidR="004713DA" w:rsidRPr="001C4E5D">
        <w:t>.</w:t>
      </w:r>
      <w:r w:rsidR="00BC273C">
        <w:t xml:space="preserve"> </w:t>
      </w:r>
      <w:r w:rsidR="00085F0B">
        <w:t xml:space="preserve">Des Weiteren </w:t>
      </w:r>
      <w:r>
        <w:t>macht</w:t>
      </w:r>
      <w:r w:rsidR="00085F0B">
        <w:t xml:space="preserve"> </w:t>
      </w:r>
      <w:r w:rsidR="00A5164D">
        <w:t>der Umstand</w:t>
      </w:r>
      <w:r>
        <w:t>,</w:t>
      </w:r>
      <w:r w:rsidR="00A5164D">
        <w:t xml:space="preserve"> dass dieser Bahnübergang an einer Hauptstraße gelegen ist</w:t>
      </w:r>
      <w:r>
        <w:t>,</w:t>
      </w:r>
      <w:r w:rsidR="00A5164D">
        <w:t xml:space="preserve"> eine Modernisierung im Rahmen </w:t>
      </w:r>
      <w:r>
        <w:t>der Sicherung</w:t>
      </w:r>
      <w:r w:rsidR="00A5164D">
        <w:t xml:space="preserve"> erforderlich</w:t>
      </w:r>
      <w:r>
        <w:t>. Somit stellt</w:t>
      </w:r>
      <w:r w:rsidR="00A5164D">
        <w:t xml:space="preserve"> </w:t>
      </w:r>
      <w:r w:rsidR="00085F0B">
        <w:t>die akustische Warneinrichtung keine</w:t>
      </w:r>
      <w:r w:rsidR="00B8211F">
        <w:t xml:space="preserve"> bzw. nur </w:t>
      </w:r>
      <w:r w:rsidR="00BC0C7D">
        <w:t xml:space="preserve">eine </w:t>
      </w:r>
      <w:r w:rsidR="00B8211F">
        <w:t>geringe</w:t>
      </w:r>
      <w:r w:rsidR="00085F0B">
        <w:t xml:space="preserve"> Beeinträchtigung für </w:t>
      </w:r>
      <w:r w:rsidR="00BC0C7D">
        <w:t xml:space="preserve">den </w:t>
      </w:r>
      <w:r w:rsidR="00085F0B">
        <w:t>Mensch</w:t>
      </w:r>
      <w:r w:rsidR="00BC0C7D">
        <w:t>en dar</w:t>
      </w:r>
      <w:r>
        <w:t>.</w:t>
      </w:r>
    </w:p>
    <w:p w:rsidR="004713DA" w:rsidRDefault="004713DA" w:rsidP="00844F51">
      <w:pPr>
        <w:spacing w:before="0" w:line="240" w:lineRule="auto"/>
      </w:pPr>
    </w:p>
    <w:p w:rsidR="004713DA" w:rsidRPr="00C63B9A" w:rsidRDefault="004713DA" w:rsidP="00844F51">
      <w:pPr>
        <w:spacing w:before="0" w:line="240" w:lineRule="auto"/>
        <w:rPr>
          <w:u w:val="single"/>
        </w:rPr>
      </w:pPr>
      <w:r w:rsidRPr="00C63B9A">
        <w:rPr>
          <w:u w:val="single"/>
        </w:rPr>
        <w:t xml:space="preserve">Schutzgut biologische Vielfalt: </w:t>
      </w:r>
    </w:p>
    <w:p w:rsidR="000D00B4" w:rsidRDefault="004713DA" w:rsidP="00186374">
      <w:pPr>
        <w:spacing w:before="0" w:line="240" w:lineRule="auto"/>
      </w:pPr>
      <w:r w:rsidRPr="00C63B9A">
        <w:t>Das Landschaftsbild wird durch den Bau der technischen Sicherungsanlagen nicht erheblich beeinträchtigt</w:t>
      </w:r>
      <w:r w:rsidR="00844F51">
        <w:t>, zumal bereits Lichtzeichenanlagen vor Ort existieren</w:t>
      </w:r>
      <w:r w:rsidR="00186374">
        <w:t>.</w:t>
      </w:r>
    </w:p>
    <w:p w:rsidR="00186374" w:rsidRPr="001C4E5D" w:rsidRDefault="00186374" w:rsidP="00186374">
      <w:pPr>
        <w:spacing w:before="0" w:line="240" w:lineRule="auto"/>
      </w:pPr>
    </w:p>
    <w:p w:rsidR="004713DA" w:rsidRPr="001C4E5D" w:rsidRDefault="004713DA" w:rsidP="00844F51">
      <w:pPr>
        <w:spacing w:before="0" w:line="240" w:lineRule="auto"/>
        <w:rPr>
          <w:u w:val="single"/>
        </w:rPr>
      </w:pPr>
      <w:r w:rsidRPr="001C4E5D">
        <w:rPr>
          <w:u w:val="single"/>
        </w:rPr>
        <w:t xml:space="preserve">Schutzgüter Fläche und Boden: </w:t>
      </w:r>
    </w:p>
    <w:p w:rsidR="004713DA" w:rsidRDefault="004713DA" w:rsidP="00844F51">
      <w:pPr>
        <w:spacing w:before="0" w:line="240" w:lineRule="auto"/>
      </w:pPr>
      <w:r w:rsidRPr="001C4E5D">
        <w:t>Durch d</w:t>
      </w:r>
      <w:r w:rsidR="00186374">
        <w:t>en geschätzten Umfang der Erdarbeiten von 3 m</w:t>
      </w:r>
      <w:r w:rsidR="00186374">
        <w:rPr>
          <w:vertAlign w:val="superscript"/>
        </w:rPr>
        <w:t>3</w:t>
      </w:r>
      <w:r w:rsidRPr="001C4E5D">
        <w:t xml:space="preserve"> wird der Boden in sehr geringem Umfang beeinträchtigt. </w:t>
      </w:r>
      <w:r w:rsidR="00186374">
        <w:t xml:space="preserve">Der Erdaushub wird ordnungsgemäß entsorgt. </w:t>
      </w:r>
      <w:r w:rsidR="00BC273C">
        <w:t>Die</w:t>
      </w:r>
      <w:r w:rsidRPr="001C4E5D">
        <w:t xml:space="preserve"> Vorhaben liegen in einem Bereich der durch Eisenbahninfrastruktur und Immissionen bereits vorbelastet ist. </w:t>
      </w:r>
      <w:r w:rsidR="00BC273C">
        <w:t>Die</w:t>
      </w:r>
      <w:r w:rsidRPr="001C4E5D">
        <w:t xml:space="preserve"> Vorhaben sind in der Gesamtschau als gering einzustufen.</w:t>
      </w:r>
    </w:p>
    <w:p w:rsidR="004713DA" w:rsidRPr="001C4E5D" w:rsidRDefault="004713DA" w:rsidP="00844F51">
      <w:pPr>
        <w:spacing w:before="0" w:line="240" w:lineRule="auto"/>
      </w:pPr>
    </w:p>
    <w:p w:rsidR="004713DA" w:rsidRPr="001C4E5D" w:rsidRDefault="004713DA" w:rsidP="00844F51">
      <w:pPr>
        <w:spacing w:before="0" w:line="240" w:lineRule="auto"/>
        <w:rPr>
          <w:u w:val="single"/>
        </w:rPr>
      </w:pPr>
      <w:r w:rsidRPr="001C4E5D">
        <w:rPr>
          <w:u w:val="single"/>
        </w:rPr>
        <w:t>Schutzgüter Klima und Luft:</w:t>
      </w:r>
    </w:p>
    <w:p w:rsidR="004713DA" w:rsidRPr="001C4E5D" w:rsidRDefault="004713DA" w:rsidP="00844F51">
      <w:pPr>
        <w:spacing w:before="0" w:line="240" w:lineRule="auto"/>
      </w:pPr>
      <w:r w:rsidRPr="001C4E5D">
        <w:t xml:space="preserve">Die Beeinträchtigungen der Lufthygiene am Ort des Vorhabens während der Bautätigkeiten durch Abgas- und Staubimmissionen sind aufgrund der verhältnismäßig geringen Ausmaße und der kurzen Bauzeit von untergeordneter Bedeutung. </w:t>
      </w:r>
    </w:p>
    <w:p w:rsidR="004713DA" w:rsidRDefault="004713DA" w:rsidP="00844F51">
      <w:pPr>
        <w:spacing w:before="0" w:line="240" w:lineRule="auto"/>
        <w:rPr>
          <w:u w:val="single"/>
        </w:rPr>
      </w:pPr>
    </w:p>
    <w:p w:rsidR="004713DA" w:rsidRPr="001C4E5D" w:rsidRDefault="004713DA" w:rsidP="00844F51">
      <w:pPr>
        <w:spacing w:before="0" w:line="240" w:lineRule="auto"/>
        <w:rPr>
          <w:u w:val="single"/>
        </w:rPr>
      </w:pPr>
      <w:r w:rsidRPr="001C4E5D">
        <w:rPr>
          <w:u w:val="single"/>
        </w:rPr>
        <w:t>Schutzgut Landschaft:</w:t>
      </w:r>
    </w:p>
    <w:p w:rsidR="004713DA" w:rsidRPr="001C4E5D" w:rsidRDefault="004713DA" w:rsidP="00844F51">
      <w:pPr>
        <w:spacing w:before="0" w:line="240" w:lineRule="auto"/>
      </w:pPr>
      <w:r w:rsidRPr="001C4E5D">
        <w:t xml:space="preserve">Der </w:t>
      </w:r>
      <w:r w:rsidR="009B0123">
        <w:t>B</w:t>
      </w:r>
      <w:r w:rsidRPr="001C4E5D">
        <w:t>au der neuen Lichtzeichenanlage</w:t>
      </w:r>
      <w:r w:rsidR="009B0123">
        <w:t>n, sowie Halbschranken an den beiden Bahnübergängen</w:t>
      </w:r>
      <w:r w:rsidRPr="001C4E5D">
        <w:t xml:space="preserve"> stellt </w:t>
      </w:r>
      <w:r>
        <w:t xml:space="preserve">eine optische Veränderung </w:t>
      </w:r>
      <w:r w:rsidRPr="001C4E5D">
        <w:t>dar. Allerdings werden die neuen Gesamtbilder nicht in untypischer Weise verändert. Die von den Bauvorhaben ausgehenden Wirkungen sind nur punktuell</w:t>
      </w:r>
      <w:r w:rsidR="00186374">
        <w:t xml:space="preserve">. </w:t>
      </w:r>
      <w:r w:rsidRPr="001C4E5D">
        <w:t>Ein Zusammenwirken mit Auswirkungen anderer Vorhaben besteht nicht; Wechselwirkungen zwischen den Schutzgütern sind nicht erkennbar.</w:t>
      </w:r>
    </w:p>
    <w:p w:rsidR="004713DA" w:rsidRDefault="004713DA" w:rsidP="00844F51">
      <w:pPr>
        <w:spacing w:before="0" w:line="240" w:lineRule="auto"/>
        <w:rPr>
          <w:b/>
        </w:rPr>
      </w:pPr>
    </w:p>
    <w:p w:rsidR="00241FF8" w:rsidRDefault="00241FF8" w:rsidP="00844F51">
      <w:pPr>
        <w:spacing w:before="0" w:line="240" w:lineRule="auto"/>
        <w:rPr>
          <w:b/>
        </w:rPr>
      </w:pPr>
    </w:p>
    <w:p w:rsidR="00241FF8" w:rsidRDefault="00241FF8" w:rsidP="00844F51">
      <w:pPr>
        <w:spacing w:before="0" w:line="240" w:lineRule="auto"/>
        <w:rPr>
          <w:b/>
        </w:rPr>
      </w:pPr>
    </w:p>
    <w:p w:rsidR="004713DA" w:rsidRPr="001C4E5D" w:rsidRDefault="004713DA" w:rsidP="00844F51">
      <w:pPr>
        <w:spacing w:before="0" w:line="240" w:lineRule="auto"/>
        <w:rPr>
          <w:b/>
        </w:rPr>
      </w:pPr>
      <w:r w:rsidRPr="001C4E5D">
        <w:rPr>
          <w:b/>
        </w:rPr>
        <w:t>Gesamteinschätzung:</w:t>
      </w:r>
    </w:p>
    <w:p w:rsidR="004713DA" w:rsidRDefault="004713DA" w:rsidP="00844F51">
      <w:pPr>
        <w:spacing w:before="0" w:line="240" w:lineRule="auto"/>
      </w:pPr>
      <w:r w:rsidRPr="001C4E5D">
        <w:t xml:space="preserve">Art und Umfang sämtlicher Auswirkungen in den betroffenen Gebieten lassen die Feststellung zu, dass erhebliche nachteilige Umweltauswirkungen durch Anlage, Bau und Betrieb des Vorhabens nicht zu erwarten sind. </w:t>
      </w:r>
      <w:r w:rsidRPr="00241FF8">
        <w:t>Eine Umweltverträglichkeitsprüfung ist nach überschlägiger Prüfung für das beantragte Vorhaben insgesamt nicht durchzuführen</w:t>
      </w:r>
      <w:r w:rsidRPr="001C4E5D">
        <w:t>.</w:t>
      </w:r>
    </w:p>
    <w:p w:rsidR="004713DA" w:rsidRPr="001C4E5D" w:rsidRDefault="004713DA" w:rsidP="00844F51">
      <w:pPr>
        <w:spacing w:before="0" w:line="240" w:lineRule="auto"/>
      </w:pPr>
    </w:p>
    <w:p w:rsidR="004713DA" w:rsidRDefault="004713DA" w:rsidP="00844F51">
      <w:pPr>
        <w:spacing w:before="0" w:line="240" w:lineRule="auto"/>
      </w:pPr>
    </w:p>
    <w:p w:rsidR="004713DA" w:rsidRDefault="004713DA" w:rsidP="00844F51">
      <w:pPr>
        <w:spacing w:before="0" w:line="240" w:lineRule="auto"/>
      </w:pPr>
      <w:r w:rsidRPr="008D363D">
        <w:t>Diese Feststellung ist nach § 5 Abs. 3 UVPG nicht selbständig anfechtbar.</w:t>
      </w:r>
    </w:p>
    <w:p w:rsidR="004713DA" w:rsidRPr="000F6B9D" w:rsidRDefault="004713DA" w:rsidP="00844F51">
      <w:pPr>
        <w:spacing w:before="0" w:line="240" w:lineRule="auto"/>
      </w:pPr>
    </w:p>
    <w:p w:rsidR="004314DD" w:rsidRDefault="009B0123" w:rsidP="00844F51">
      <w:pPr>
        <w:spacing w:before="0" w:line="240" w:lineRule="auto"/>
      </w:pPr>
      <w:r>
        <w:t>Hannover,</w:t>
      </w:r>
      <w:r w:rsidR="00F53154">
        <w:t>11</w:t>
      </w:r>
      <w:r w:rsidR="00B73977">
        <w:t>.0</w:t>
      </w:r>
      <w:r w:rsidR="00241FF8">
        <w:t>8</w:t>
      </w:r>
      <w:r w:rsidR="00B01D1F">
        <w:t>.20</w:t>
      </w:r>
      <w:r w:rsidR="00241FF8">
        <w:t>20</w:t>
      </w:r>
    </w:p>
    <w:p w:rsidR="00844F51" w:rsidRDefault="00844F51" w:rsidP="00844F51">
      <w:pPr>
        <w:spacing w:before="0" w:line="240" w:lineRule="auto"/>
      </w:pPr>
    </w:p>
    <w:p w:rsidR="00844F51" w:rsidRDefault="00844F51" w:rsidP="00844F51">
      <w:pPr>
        <w:spacing w:before="0" w:line="240" w:lineRule="auto"/>
      </w:pPr>
    </w:p>
    <w:p w:rsidR="004314DD" w:rsidRDefault="004314DD" w:rsidP="00844F51">
      <w:pPr>
        <w:spacing w:before="0" w:line="240" w:lineRule="auto"/>
      </w:pPr>
      <w:r>
        <w:t>I</w:t>
      </w:r>
      <w:r w:rsidRPr="00A231AF">
        <w:t xml:space="preserve">.A. </w:t>
      </w:r>
      <w:proofErr w:type="spellStart"/>
      <w:r w:rsidR="00241FF8">
        <w:t>Kuhlmey</w:t>
      </w:r>
      <w:proofErr w:type="spellEnd"/>
    </w:p>
    <w:p w:rsidR="00241FF8" w:rsidRPr="00A231AF" w:rsidRDefault="00241FF8" w:rsidP="00844F51">
      <w:pPr>
        <w:spacing w:before="0" w:line="240" w:lineRule="auto"/>
      </w:pPr>
    </w:p>
    <w:p w:rsidR="004713DA" w:rsidRDefault="004713DA" w:rsidP="004713DA">
      <w:pPr>
        <w:pStyle w:val="Textkrper"/>
        <w:spacing w:after="0"/>
        <w:jc w:val="both"/>
        <w:rPr>
          <w:rFonts w:cs="Arial"/>
        </w:rPr>
      </w:pPr>
    </w:p>
    <w:p w:rsidR="004713DA" w:rsidRDefault="004713DA" w:rsidP="004713DA">
      <w:pPr>
        <w:pStyle w:val="Textkrper"/>
        <w:spacing w:after="0"/>
        <w:jc w:val="both"/>
        <w:rPr>
          <w:rFonts w:cs="Arial"/>
        </w:rPr>
      </w:pPr>
    </w:p>
    <w:sectPr w:rsidR="004713DA" w:rsidSect="007A25F2">
      <w:footerReference w:type="even" r:id="rId8"/>
      <w:footerReference w:type="default" r:id="rId9"/>
      <w:headerReference w:type="first" r:id="rId10"/>
      <w:footerReference w:type="first" r:id="rId11"/>
      <w:type w:val="continuous"/>
      <w:pgSz w:w="11907" w:h="16840" w:code="9"/>
      <w:pgMar w:top="993" w:right="1134" w:bottom="1418" w:left="1361"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96" w:rsidRDefault="006D7096" w:rsidP="00D853AB">
      <w:r>
        <w:separator/>
      </w:r>
    </w:p>
  </w:endnote>
  <w:endnote w:type="continuationSeparator" w:id="0">
    <w:p w:rsidR="006D7096" w:rsidRDefault="006D7096" w:rsidP="00D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D853AB">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7A25F2">
      <w:rPr>
        <w:rStyle w:val="Seitenzahl"/>
        <w:noProof/>
      </w:rPr>
      <w:t>1</w:t>
    </w:r>
    <w:r>
      <w:rPr>
        <w:rStyle w:val="Seitenzahl"/>
      </w:rPr>
      <w:fldChar w:fldCharType="end"/>
    </w:r>
  </w:p>
  <w:p w:rsidR="001C6AFB" w:rsidRDefault="001C6AFB" w:rsidP="00D853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E6011F">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222B83">
      <w:rPr>
        <w:rStyle w:val="Seitenzahl"/>
        <w:noProof/>
      </w:rPr>
      <w:t>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F" w:rsidRDefault="00BE1B0F" w:rsidP="00C02050">
    <w:pPr>
      <w:pStyle w:val="Fuzeile"/>
      <w:jc w:val="right"/>
    </w:pPr>
    <w:r>
      <w:fldChar w:fldCharType="begin"/>
    </w:r>
    <w:r>
      <w:instrText>PAGE   \* MERGEFORMAT</w:instrText>
    </w:r>
    <w:r>
      <w:fldChar w:fldCharType="separate"/>
    </w:r>
    <w:r w:rsidR="00222B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96" w:rsidRDefault="006D7096" w:rsidP="00D853AB">
      <w:r>
        <w:separator/>
      </w:r>
    </w:p>
  </w:footnote>
  <w:footnote w:type="continuationSeparator" w:id="0">
    <w:p w:rsidR="006D7096" w:rsidRDefault="006D7096" w:rsidP="00D8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84" w:rsidRDefault="00D52C7E" w:rsidP="00D853AB">
    <w:pPr>
      <w:pStyle w:val="Kopfzeile"/>
    </w:pPr>
    <w:r>
      <w:rPr>
        <w:noProof/>
      </w:rPr>
      <w:drawing>
        <wp:anchor distT="0" distB="0" distL="114300" distR="114300" simplePos="0" relativeHeight="251657728" behindDoc="1" locked="0" layoutInCell="1" allowOverlap="1" wp14:anchorId="5047C30E" wp14:editId="6C12C919">
          <wp:simplePos x="0" y="0"/>
          <wp:positionH relativeFrom="page">
            <wp:posOffset>4471670</wp:posOffset>
          </wp:positionH>
          <wp:positionV relativeFrom="page">
            <wp:posOffset>277495</wp:posOffset>
          </wp:positionV>
          <wp:extent cx="527050" cy="615950"/>
          <wp:effectExtent l="0" t="0" r="6350" b="0"/>
          <wp:wrapTight wrapText="bothSides">
            <wp:wrapPolygon edited="0">
              <wp:start x="0" y="0"/>
              <wp:lineTo x="0" y="20709"/>
              <wp:lineTo x="21080" y="20709"/>
              <wp:lineTo x="21080" y="0"/>
              <wp:lineTo x="0" y="0"/>
            </wp:wrapPolygon>
          </wp:wrapTight>
          <wp:docPr id="2"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984" w:rsidRDefault="00AA4984" w:rsidP="00D853AB">
    <w:pPr>
      <w:pStyle w:val="Kopfzeile"/>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91"/>
      <w:gridCol w:w="4211"/>
    </w:tblGrid>
    <w:tr w:rsidR="00AA4984">
      <w:tc>
        <w:tcPr>
          <w:tcW w:w="5761" w:type="dxa"/>
          <w:tcBorders>
            <w:top w:val="nil"/>
            <w:left w:val="nil"/>
            <w:bottom w:val="nil"/>
            <w:right w:val="nil"/>
          </w:tcBorders>
        </w:tcPr>
        <w:p w:rsidR="00AA4984" w:rsidRDefault="00AA4984" w:rsidP="00D853AB">
          <w:pPr>
            <w:pStyle w:val="Kopfzeile"/>
          </w:pPr>
        </w:p>
      </w:tc>
      <w:tc>
        <w:tcPr>
          <w:tcW w:w="4190" w:type="dxa"/>
          <w:tcBorders>
            <w:top w:val="nil"/>
            <w:left w:val="nil"/>
            <w:bottom w:val="nil"/>
            <w:right w:val="nil"/>
          </w:tcBorders>
        </w:tcPr>
        <w:p w:rsidR="00AC5627" w:rsidRDefault="00AA4984" w:rsidP="00832F4B">
          <w:pPr>
            <w:pStyle w:val="Kopfzeile"/>
            <w:jc w:val="left"/>
          </w:pPr>
          <w:r>
            <w:t>Niedersächsische Landesbehörde</w:t>
          </w:r>
          <w:r>
            <w:br/>
            <w:t>für Straßenbau und Verkehr</w:t>
          </w:r>
        </w:p>
        <w:p w:rsidR="00AA4984" w:rsidRDefault="00AC5627" w:rsidP="00D853AB">
          <w:pPr>
            <w:pStyle w:val="Kopfzeile"/>
          </w:pPr>
          <w:r>
            <w:t>- Planfeststellung -</w:t>
          </w:r>
        </w:p>
      </w:tc>
    </w:tr>
  </w:tbl>
  <w:p w:rsidR="00AA4984" w:rsidRDefault="00AA4984" w:rsidP="00D853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6AC"/>
    <w:multiLevelType w:val="hybridMultilevel"/>
    <w:tmpl w:val="D97C2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C43A6B"/>
    <w:multiLevelType w:val="hybridMultilevel"/>
    <w:tmpl w:val="D69A6FDC"/>
    <w:lvl w:ilvl="0" w:tplc="4C2EE4D4">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3DF93346"/>
    <w:multiLevelType w:val="hybridMultilevel"/>
    <w:tmpl w:val="62AE302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48C698D"/>
    <w:multiLevelType w:val="hybridMultilevel"/>
    <w:tmpl w:val="06F898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8F5A17"/>
    <w:multiLevelType w:val="hybridMultilevel"/>
    <w:tmpl w:val="ED684CDA"/>
    <w:lvl w:ilvl="0" w:tplc="612A166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677A8"/>
    <w:multiLevelType w:val="hybridMultilevel"/>
    <w:tmpl w:val="5210A128"/>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6F7921"/>
    <w:multiLevelType w:val="hybridMultilevel"/>
    <w:tmpl w:val="72FA72D2"/>
    <w:lvl w:ilvl="0" w:tplc="D30270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D86F35"/>
    <w:multiLevelType w:val="hybridMultilevel"/>
    <w:tmpl w:val="20FEFD1A"/>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02"/>
    <w:rsid w:val="00003A2C"/>
    <w:rsid w:val="00004D3D"/>
    <w:rsid w:val="00015673"/>
    <w:rsid w:val="00020628"/>
    <w:rsid w:val="00022488"/>
    <w:rsid w:val="000250FF"/>
    <w:rsid w:val="00030854"/>
    <w:rsid w:val="00032C97"/>
    <w:rsid w:val="000465DE"/>
    <w:rsid w:val="00065C53"/>
    <w:rsid w:val="00066679"/>
    <w:rsid w:val="0006792C"/>
    <w:rsid w:val="000711C7"/>
    <w:rsid w:val="00076E8F"/>
    <w:rsid w:val="00076EB6"/>
    <w:rsid w:val="000776DD"/>
    <w:rsid w:val="00085A32"/>
    <w:rsid w:val="00085F0B"/>
    <w:rsid w:val="00091BC6"/>
    <w:rsid w:val="000A2E37"/>
    <w:rsid w:val="000A573C"/>
    <w:rsid w:val="000B699D"/>
    <w:rsid w:val="000C309B"/>
    <w:rsid w:val="000D00B4"/>
    <w:rsid w:val="000D30E8"/>
    <w:rsid w:val="000E020B"/>
    <w:rsid w:val="000F1E0F"/>
    <w:rsid w:val="000F4D92"/>
    <w:rsid w:val="000F6B9D"/>
    <w:rsid w:val="00104201"/>
    <w:rsid w:val="00105C84"/>
    <w:rsid w:val="001162AE"/>
    <w:rsid w:val="00117367"/>
    <w:rsid w:val="0011763B"/>
    <w:rsid w:val="001217B7"/>
    <w:rsid w:val="001273CC"/>
    <w:rsid w:val="00144F97"/>
    <w:rsid w:val="00151A88"/>
    <w:rsid w:val="001700B7"/>
    <w:rsid w:val="00170709"/>
    <w:rsid w:val="00171AD4"/>
    <w:rsid w:val="00172B35"/>
    <w:rsid w:val="0017427F"/>
    <w:rsid w:val="0017495C"/>
    <w:rsid w:val="00177CC3"/>
    <w:rsid w:val="00186374"/>
    <w:rsid w:val="00187FF7"/>
    <w:rsid w:val="0019299B"/>
    <w:rsid w:val="001C1DCB"/>
    <w:rsid w:val="001C6AFB"/>
    <w:rsid w:val="001D0EFA"/>
    <w:rsid w:val="001F4612"/>
    <w:rsid w:val="001F6BF9"/>
    <w:rsid w:val="002033FE"/>
    <w:rsid w:val="002117CA"/>
    <w:rsid w:val="00211E0E"/>
    <w:rsid w:val="00222B83"/>
    <w:rsid w:val="00226A41"/>
    <w:rsid w:val="00226BE0"/>
    <w:rsid w:val="00226E93"/>
    <w:rsid w:val="0023399A"/>
    <w:rsid w:val="00241FF8"/>
    <w:rsid w:val="00267427"/>
    <w:rsid w:val="00272BEC"/>
    <w:rsid w:val="00273B0B"/>
    <w:rsid w:val="00282F42"/>
    <w:rsid w:val="002904B2"/>
    <w:rsid w:val="002912E0"/>
    <w:rsid w:val="002A7FD5"/>
    <w:rsid w:val="002B0A6B"/>
    <w:rsid w:val="002B6649"/>
    <w:rsid w:val="002C0F30"/>
    <w:rsid w:val="002C1B9D"/>
    <w:rsid w:val="002D6A57"/>
    <w:rsid w:val="002E04B1"/>
    <w:rsid w:val="003029E0"/>
    <w:rsid w:val="00311237"/>
    <w:rsid w:val="00316B0B"/>
    <w:rsid w:val="003211A2"/>
    <w:rsid w:val="00326935"/>
    <w:rsid w:val="003273F4"/>
    <w:rsid w:val="0033161E"/>
    <w:rsid w:val="00331F46"/>
    <w:rsid w:val="00333D24"/>
    <w:rsid w:val="00341410"/>
    <w:rsid w:val="00342243"/>
    <w:rsid w:val="00342B97"/>
    <w:rsid w:val="003544D2"/>
    <w:rsid w:val="003562E5"/>
    <w:rsid w:val="003818C6"/>
    <w:rsid w:val="00382A42"/>
    <w:rsid w:val="003B34F2"/>
    <w:rsid w:val="003D3A49"/>
    <w:rsid w:val="0041172F"/>
    <w:rsid w:val="00415D6F"/>
    <w:rsid w:val="00424CA5"/>
    <w:rsid w:val="004307DE"/>
    <w:rsid w:val="004314DD"/>
    <w:rsid w:val="00436A82"/>
    <w:rsid w:val="004375C8"/>
    <w:rsid w:val="00437ED4"/>
    <w:rsid w:val="00451A53"/>
    <w:rsid w:val="00452C3A"/>
    <w:rsid w:val="004713DA"/>
    <w:rsid w:val="004A1FAE"/>
    <w:rsid w:val="004A296C"/>
    <w:rsid w:val="004B29DC"/>
    <w:rsid w:val="004B2D2A"/>
    <w:rsid w:val="004B47EC"/>
    <w:rsid w:val="004C0299"/>
    <w:rsid w:val="004C3DA2"/>
    <w:rsid w:val="004C5523"/>
    <w:rsid w:val="004D0F47"/>
    <w:rsid w:val="004D18F2"/>
    <w:rsid w:val="004E11C6"/>
    <w:rsid w:val="004E5BA1"/>
    <w:rsid w:val="00507DAE"/>
    <w:rsid w:val="00526E2A"/>
    <w:rsid w:val="00550CE5"/>
    <w:rsid w:val="005651A4"/>
    <w:rsid w:val="00571924"/>
    <w:rsid w:val="005730BF"/>
    <w:rsid w:val="00584A43"/>
    <w:rsid w:val="0059302D"/>
    <w:rsid w:val="005A6839"/>
    <w:rsid w:val="005B0458"/>
    <w:rsid w:val="005C51F6"/>
    <w:rsid w:val="005D1E9B"/>
    <w:rsid w:val="005D54A1"/>
    <w:rsid w:val="00600E82"/>
    <w:rsid w:val="0060537E"/>
    <w:rsid w:val="00606C03"/>
    <w:rsid w:val="006205B0"/>
    <w:rsid w:val="00632023"/>
    <w:rsid w:val="00641528"/>
    <w:rsid w:val="0064776A"/>
    <w:rsid w:val="00647BAF"/>
    <w:rsid w:val="0065557B"/>
    <w:rsid w:val="00656758"/>
    <w:rsid w:val="006602D3"/>
    <w:rsid w:val="00661F6C"/>
    <w:rsid w:val="006671D7"/>
    <w:rsid w:val="00667AA0"/>
    <w:rsid w:val="0067113A"/>
    <w:rsid w:val="00673D33"/>
    <w:rsid w:val="006773C6"/>
    <w:rsid w:val="00680B9D"/>
    <w:rsid w:val="00681C03"/>
    <w:rsid w:val="00695895"/>
    <w:rsid w:val="00697EF1"/>
    <w:rsid w:val="006A5145"/>
    <w:rsid w:val="006C1DAC"/>
    <w:rsid w:val="006D11BD"/>
    <w:rsid w:val="006D2FEE"/>
    <w:rsid w:val="006D7096"/>
    <w:rsid w:val="006E2544"/>
    <w:rsid w:val="006F28A1"/>
    <w:rsid w:val="006F2ADD"/>
    <w:rsid w:val="006F4085"/>
    <w:rsid w:val="006F7D1C"/>
    <w:rsid w:val="00701A37"/>
    <w:rsid w:val="00702D4F"/>
    <w:rsid w:val="00740E53"/>
    <w:rsid w:val="007472B6"/>
    <w:rsid w:val="00754D59"/>
    <w:rsid w:val="00763B83"/>
    <w:rsid w:val="00775B5A"/>
    <w:rsid w:val="00792393"/>
    <w:rsid w:val="00793F68"/>
    <w:rsid w:val="00797EFA"/>
    <w:rsid w:val="007A0A7E"/>
    <w:rsid w:val="007A25F2"/>
    <w:rsid w:val="007A6DA3"/>
    <w:rsid w:val="007C6E99"/>
    <w:rsid w:val="007D621F"/>
    <w:rsid w:val="0080592D"/>
    <w:rsid w:val="008125C1"/>
    <w:rsid w:val="00817F8B"/>
    <w:rsid w:val="00827446"/>
    <w:rsid w:val="00827CD6"/>
    <w:rsid w:val="00832F4B"/>
    <w:rsid w:val="00843E92"/>
    <w:rsid w:val="00844F51"/>
    <w:rsid w:val="008479C2"/>
    <w:rsid w:val="00854A04"/>
    <w:rsid w:val="00856B14"/>
    <w:rsid w:val="00870CB7"/>
    <w:rsid w:val="008744E8"/>
    <w:rsid w:val="008810E7"/>
    <w:rsid w:val="008905E6"/>
    <w:rsid w:val="00893C82"/>
    <w:rsid w:val="00894C4D"/>
    <w:rsid w:val="008A2387"/>
    <w:rsid w:val="008A7E99"/>
    <w:rsid w:val="008D5C01"/>
    <w:rsid w:val="00901E14"/>
    <w:rsid w:val="00906912"/>
    <w:rsid w:val="0090716B"/>
    <w:rsid w:val="0093173A"/>
    <w:rsid w:val="0093577C"/>
    <w:rsid w:val="009408AB"/>
    <w:rsid w:val="0095220D"/>
    <w:rsid w:val="00961478"/>
    <w:rsid w:val="00962CC4"/>
    <w:rsid w:val="009646FE"/>
    <w:rsid w:val="009678D9"/>
    <w:rsid w:val="009724A3"/>
    <w:rsid w:val="009725F4"/>
    <w:rsid w:val="00973F44"/>
    <w:rsid w:val="009767E7"/>
    <w:rsid w:val="00986278"/>
    <w:rsid w:val="00990B40"/>
    <w:rsid w:val="009A661B"/>
    <w:rsid w:val="009B0123"/>
    <w:rsid w:val="009B2685"/>
    <w:rsid w:val="009B6A6A"/>
    <w:rsid w:val="009D175A"/>
    <w:rsid w:val="009D2796"/>
    <w:rsid w:val="009D6282"/>
    <w:rsid w:val="009E29AD"/>
    <w:rsid w:val="009E4EFD"/>
    <w:rsid w:val="009E565F"/>
    <w:rsid w:val="009F7401"/>
    <w:rsid w:val="00A047C0"/>
    <w:rsid w:val="00A11154"/>
    <w:rsid w:val="00A17E56"/>
    <w:rsid w:val="00A22861"/>
    <w:rsid w:val="00A22E02"/>
    <w:rsid w:val="00A25719"/>
    <w:rsid w:val="00A40A0B"/>
    <w:rsid w:val="00A4794C"/>
    <w:rsid w:val="00A5117F"/>
    <w:rsid w:val="00A5164D"/>
    <w:rsid w:val="00A57E70"/>
    <w:rsid w:val="00A619B7"/>
    <w:rsid w:val="00A73A88"/>
    <w:rsid w:val="00A75BBC"/>
    <w:rsid w:val="00A83659"/>
    <w:rsid w:val="00A83CC7"/>
    <w:rsid w:val="00A906A4"/>
    <w:rsid w:val="00A91104"/>
    <w:rsid w:val="00AA31C5"/>
    <w:rsid w:val="00AA4984"/>
    <w:rsid w:val="00AB571F"/>
    <w:rsid w:val="00AC5627"/>
    <w:rsid w:val="00AD24E9"/>
    <w:rsid w:val="00AD42D7"/>
    <w:rsid w:val="00AE2716"/>
    <w:rsid w:val="00AE392E"/>
    <w:rsid w:val="00AE40B6"/>
    <w:rsid w:val="00AF6B0C"/>
    <w:rsid w:val="00B01D1F"/>
    <w:rsid w:val="00B07E37"/>
    <w:rsid w:val="00B07FD4"/>
    <w:rsid w:val="00B232EC"/>
    <w:rsid w:val="00B53535"/>
    <w:rsid w:val="00B57A49"/>
    <w:rsid w:val="00B73977"/>
    <w:rsid w:val="00B73FC1"/>
    <w:rsid w:val="00B81A3F"/>
    <w:rsid w:val="00B8211F"/>
    <w:rsid w:val="00B87776"/>
    <w:rsid w:val="00B95AB4"/>
    <w:rsid w:val="00BA336C"/>
    <w:rsid w:val="00BB462B"/>
    <w:rsid w:val="00BB48C5"/>
    <w:rsid w:val="00BB69E8"/>
    <w:rsid w:val="00BC0BD9"/>
    <w:rsid w:val="00BC0C7D"/>
    <w:rsid w:val="00BC273C"/>
    <w:rsid w:val="00BD34B0"/>
    <w:rsid w:val="00BE1B0F"/>
    <w:rsid w:val="00BF4E73"/>
    <w:rsid w:val="00C02050"/>
    <w:rsid w:val="00C20D6B"/>
    <w:rsid w:val="00C2570F"/>
    <w:rsid w:val="00C30F12"/>
    <w:rsid w:val="00C35FEA"/>
    <w:rsid w:val="00C434C9"/>
    <w:rsid w:val="00C46D5F"/>
    <w:rsid w:val="00C66388"/>
    <w:rsid w:val="00C75C41"/>
    <w:rsid w:val="00C76DD6"/>
    <w:rsid w:val="00C839CF"/>
    <w:rsid w:val="00CB42D6"/>
    <w:rsid w:val="00CC5754"/>
    <w:rsid w:val="00CD2D8D"/>
    <w:rsid w:val="00CE3E6F"/>
    <w:rsid w:val="00D027C0"/>
    <w:rsid w:val="00D0702B"/>
    <w:rsid w:val="00D33E0F"/>
    <w:rsid w:val="00D52C7E"/>
    <w:rsid w:val="00D62035"/>
    <w:rsid w:val="00D65D6B"/>
    <w:rsid w:val="00D817EC"/>
    <w:rsid w:val="00D853AB"/>
    <w:rsid w:val="00D87657"/>
    <w:rsid w:val="00D91099"/>
    <w:rsid w:val="00DB2A03"/>
    <w:rsid w:val="00DC0ECF"/>
    <w:rsid w:val="00DC56FA"/>
    <w:rsid w:val="00DC700F"/>
    <w:rsid w:val="00DD2D00"/>
    <w:rsid w:val="00DD5E96"/>
    <w:rsid w:val="00DE0190"/>
    <w:rsid w:val="00DE03D1"/>
    <w:rsid w:val="00DE49AE"/>
    <w:rsid w:val="00DE7C5B"/>
    <w:rsid w:val="00DF231A"/>
    <w:rsid w:val="00DF4174"/>
    <w:rsid w:val="00E0535E"/>
    <w:rsid w:val="00E15C1E"/>
    <w:rsid w:val="00E16D27"/>
    <w:rsid w:val="00E202F0"/>
    <w:rsid w:val="00E22D69"/>
    <w:rsid w:val="00E257A2"/>
    <w:rsid w:val="00E3498C"/>
    <w:rsid w:val="00E6011F"/>
    <w:rsid w:val="00E66BE3"/>
    <w:rsid w:val="00E94041"/>
    <w:rsid w:val="00EA5F92"/>
    <w:rsid w:val="00EB1731"/>
    <w:rsid w:val="00EB19D2"/>
    <w:rsid w:val="00EB3666"/>
    <w:rsid w:val="00EB3771"/>
    <w:rsid w:val="00EB6A66"/>
    <w:rsid w:val="00EC39E5"/>
    <w:rsid w:val="00EC53DD"/>
    <w:rsid w:val="00ED6C41"/>
    <w:rsid w:val="00ED6D48"/>
    <w:rsid w:val="00EE562F"/>
    <w:rsid w:val="00EE665C"/>
    <w:rsid w:val="00EF53F7"/>
    <w:rsid w:val="00F0577E"/>
    <w:rsid w:val="00F0672A"/>
    <w:rsid w:val="00F07E5C"/>
    <w:rsid w:val="00F10D19"/>
    <w:rsid w:val="00F1306E"/>
    <w:rsid w:val="00F41BB8"/>
    <w:rsid w:val="00F47CB4"/>
    <w:rsid w:val="00F53154"/>
    <w:rsid w:val="00F53BB6"/>
    <w:rsid w:val="00F70B3B"/>
    <w:rsid w:val="00F8371A"/>
    <w:rsid w:val="00F94F4C"/>
    <w:rsid w:val="00F97947"/>
    <w:rsid w:val="00FA680E"/>
    <w:rsid w:val="00FD11DB"/>
    <w:rsid w:val="00FD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E6E5C"/>
  <w15:chartTrackingRefBased/>
  <w15:docId w15:val="{3A1C483E-CCEB-43BD-B5DE-EB5E9059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53AB"/>
    <w:pPr>
      <w:spacing w:before="120" w:line="320" w:lineRule="exact"/>
      <w:jc w:val="both"/>
    </w:pPr>
    <w:rPr>
      <w:rFonts w:ascii="Arial" w:hAnsi="Arial" w:cs="Arial"/>
      <w:sz w:val="22"/>
      <w:szCs w:val="22"/>
    </w:rPr>
  </w:style>
  <w:style w:type="paragraph" w:styleId="berschrift1">
    <w:name w:val="heading 1"/>
    <w:aliases w:val="1"/>
    <w:basedOn w:val="Standard"/>
    <w:next w:val="Standard"/>
    <w:link w:val="berschrift1Zchn"/>
    <w:qFormat/>
    <w:rsid w:val="006D11BD"/>
    <w:pPr>
      <w:spacing w:before="360" w:after="12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1C6AFB"/>
  </w:style>
  <w:style w:type="character" w:styleId="Hyperlink">
    <w:name w:val="Hyperlink"/>
    <w:rPr>
      <w:color w:val="0000FF"/>
      <w:u w:val="single"/>
    </w:rPr>
  </w:style>
  <w:style w:type="table" w:styleId="Tabellenraster">
    <w:name w:val="Table Grid"/>
    <w:basedOn w:val="NormaleTabelle"/>
    <w:rsid w:val="001C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Zchn"/>
    <w:link w:val="berschrift1"/>
    <w:rsid w:val="006D11BD"/>
    <w:rPr>
      <w:rFonts w:ascii="Arial" w:hAnsi="Arial" w:cs="Arial"/>
      <w:b/>
      <w:sz w:val="22"/>
      <w:szCs w:val="22"/>
    </w:rPr>
  </w:style>
  <w:style w:type="paragraph" w:styleId="Untertitel">
    <w:name w:val="Subtitle"/>
    <w:aliases w:val="1.1"/>
    <w:basedOn w:val="Standard"/>
    <w:next w:val="Standard"/>
    <w:link w:val="UntertitelZchn"/>
    <w:qFormat/>
    <w:rsid w:val="006D11BD"/>
    <w:pPr>
      <w:spacing w:before="240"/>
    </w:pPr>
    <w:rPr>
      <w:i/>
    </w:rPr>
  </w:style>
  <w:style w:type="character" w:customStyle="1" w:styleId="UntertitelZchn">
    <w:name w:val="Untertitel Zchn"/>
    <w:aliases w:val="1.1 Zchn"/>
    <w:link w:val="Untertitel"/>
    <w:rsid w:val="006D11BD"/>
    <w:rPr>
      <w:rFonts w:ascii="Arial" w:hAnsi="Arial" w:cs="Arial"/>
      <w:i/>
      <w:sz w:val="22"/>
      <w:szCs w:val="22"/>
    </w:rPr>
  </w:style>
  <w:style w:type="character" w:customStyle="1" w:styleId="FuzeileZchn">
    <w:name w:val="Fußzeile Zchn"/>
    <w:link w:val="Fuzeile"/>
    <w:uiPriority w:val="99"/>
    <w:rsid w:val="00BE1B0F"/>
    <w:rPr>
      <w:rFonts w:ascii="Arial" w:hAnsi="Arial" w:cs="Arial"/>
      <w:sz w:val="22"/>
      <w:szCs w:val="22"/>
    </w:rPr>
  </w:style>
  <w:style w:type="paragraph" w:styleId="Sprechblasentext">
    <w:name w:val="Balloon Text"/>
    <w:basedOn w:val="Standard"/>
    <w:link w:val="SprechblasentextZchn"/>
    <w:rsid w:val="004E5BA1"/>
    <w:pPr>
      <w:spacing w:before="0" w:line="240" w:lineRule="auto"/>
    </w:pPr>
    <w:rPr>
      <w:rFonts w:ascii="Segoe UI" w:hAnsi="Segoe UI" w:cs="Segoe UI"/>
      <w:sz w:val="18"/>
      <w:szCs w:val="18"/>
    </w:rPr>
  </w:style>
  <w:style w:type="character" w:customStyle="1" w:styleId="SprechblasentextZchn">
    <w:name w:val="Sprechblasentext Zchn"/>
    <w:link w:val="Sprechblasentext"/>
    <w:rsid w:val="004E5BA1"/>
    <w:rPr>
      <w:rFonts w:ascii="Segoe UI" w:hAnsi="Segoe UI" w:cs="Segoe UI"/>
      <w:sz w:val="18"/>
      <w:szCs w:val="18"/>
    </w:rPr>
  </w:style>
  <w:style w:type="paragraph" w:styleId="Listenabsatz">
    <w:name w:val="List Paragraph"/>
    <w:basedOn w:val="Standard"/>
    <w:uiPriority w:val="34"/>
    <w:qFormat/>
    <w:rsid w:val="00A17E56"/>
    <w:pPr>
      <w:ind w:left="720"/>
      <w:contextualSpacing/>
    </w:pPr>
  </w:style>
  <w:style w:type="paragraph" w:styleId="Textkrper">
    <w:name w:val="Body Text"/>
    <w:basedOn w:val="Standard"/>
    <w:link w:val="TextkrperZchn"/>
    <w:rsid w:val="00FD3AE4"/>
    <w:pPr>
      <w:spacing w:before="0" w:after="120" w:line="240" w:lineRule="auto"/>
      <w:jc w:val="left"/>
    </w:pPr>
    <w:rPr>
      <w:rFonts w:ascii="Frutiger Light" w:hAnsi="Frutiger Light" w:cs="Times New Roman"/>
      <w:szCs w:val="20"/>
    </w:rPr>
  </w:style>
  <w:style w:type="character" w:customStyle="1" w:styleId="TextkrperZchn">
    <w:name w:val="Textkörper Zchn"/>
    <w:basedOn w:val="Absatz-Standardschriftart"/>
    <w:link w:val="Textkrper"/>
    <w:rsid w:val="00FD3AE4"/>
    <w:rPr>
      <w:rFonts w:ascii="Frutiger Light" w:hAnsi="Frutiger Light"/>
      <w:sz w:val="22"/>
    </w:rPr>
  </w:style>
  <w:style w:type="character" w:styleId="Kommentarzeichen">
    <w:name w:val="annotation reference"/>
    <w:basedOn w:val="Absatz-Standardschriftart"/>
    <w:rsid w:val="00A83659"/>
    <w:rPr>
      <w:sz w:val="16"/>
      <w:szCs w:val="16"/>
    </w:rPr>
  </w:style>
  <w:style w:type="paragraph" w:styleId="Kommentartext">
    <w:name w:val="annotation text"/>
    <w:basedOn w:val="Standard"/>
    <w:link w:val="KommentartextZchn"/>
    <w:rsid w:val="00A83659"/>
    <w:pPr>
      <w:spacing w:line="240" w:lineRule="auto"/>
    </w:pPr>
    <w:rPr>
      <w:sz w:val="20"/>
      <w:szCs w:val="20"/>
    </w:rPr>
  </w:style>
  <w:style w:type="character" w:customStyle="1" w:styleId="KommentartextZchn">
    <w:name w:val="Kommentartext Zchn"/>
    <w:basedOn w:val="Absatz-Standardschriftart"/>
    <w:link w:val="Kommentartext"/>
    <w:rsid w:val="00A83659"/>
    <w:rPr>
      <w:rFonts w:ascii="Arial" w:hAnsi="Arial" w:cs="Arial"/>
    </w:rPr>
  </w:style>
  <w:style w:type="paragraph" w:styleId="Kommentarthema">
    <w:name w:val="annotation subject"/>
    <w:basedOn w:val="Kommentartext"/>
    <w:next w:val="Kommentartext"/>
    <w:link w:val="KommentarthemaZchn"/>
    <w:rsid w:val="00A83659"/>
    <w:rPr>
      <w:b/>
      <w:bCs/>
    </w:rPr>
  </w:style>
  <w:style w:type="character" w:customStyle="1" w:styleId="KommentarthemaZchn">
    <w:name w:val="Kommentarthema Zchn"/>
    <w:basedOn w:val="KommentartextZchn"/>
    <w:link w:val="Kommentarthema"/>
    <w:rsid w:val="00A8365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nick\Eigene%20Dateien\Muster\geschaeftsbrief_nlstb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40AD-712E-4849-BDF8-0C8582E2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geschaeftsbrief_nlstbv.dot</Template>
  <TotalTime>0</TotalTime>
  <Pages>3</Pages>
  <Words>750</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UVP-Pflicht BÜ Nordsoder Damm</vt:lpstr>
    </vt:vector>
  </TitlesOfParts>
  <Company>Bezirksregierung Braunschweig</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UVP-Pflicht BÜ Nordsoder Damm</dc:title>
  <dc:subject/>
  <dc:creator>Zander, Madeleine (NLSTBV)</dc:creator>
  <cp:keywords/>
  <dc:description/>
  <cp:lastModifiedBy>Kuhlmey, Sabrina (NLSTBV)</cp:lastModifiedBy>
  <cp:revision>4</cp:revision>
  <cp:lastPrinted>2020-08-07T07:31:00Z</cp:lastPrinted>
  <dcterms:created xsi:type="dcterms:W3CDTF">2020-08-11T11:48:00Z</dcterms:created>
  <dcterms:modified xsi:type="dcterms:W3CDTF">2020-08-11T11:56:00Z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schreibung">
    <vt:lpwstr>Kopfbogen NLStBV</vt:lpwstr>
  </property>
</Properties>
</file>