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Fuzeile"/>
        <w:spacing w:line="300" w:lineRule="atLeast"/>
        <w:jc w:val="center"/>
        <w:rPr>
          <w:rFonts w:ascii="Arial" w:hAnsi="Arial" w:cs="Arial"/>
          <w:b/>
          <w:bCs/>
          <w:sz w:val="22"/>
          <w:szCs w:val="22"/>
        </w:rPr>
      </w:pPr>
      <w:r>
        <w:rPr>
          <w:rFonts w:ascii="Arial" w:hAnsi="Arial" w:cs="Arial"/>
          <w:b/>
          <w:bCs/>
          <w:sz w:val="22"/>
          <w:szCs w:val="22"/>
        </w:rPr>
        <w:t xml:space="preserve">Bekanntmachung nach § 10 Abs. 8 Satz 2 und 3 BImSchG </w:t>
      </w:r>
    </w:p>
    <w:p>
      <w:pPr>
        <w:pStyle w:val="Fuzeile"/>
        <w:spacing w:line="300" w:lineRule="atLeast"/>
        <w:jc w:val="center"/>
        <w:rPr>
          <w:rFonts w:ascii="Arial" w:hAnsi="Arial" w:cs="Arial"/>
          <w:b/>
          <w:bCs/>
          <w:sz w:val="22"/>
          <w:szCs w:val="22"/>
        </w:rPr>
      </w:pPr>
      <w:r>
        <w:rPr>
          <w:rFonts w:ascii="Arial" w:hAnsi="Arial" w:cs="Arial"/>
          <w:b/>
          <w:bCs/>
          <w:sz w:val="22"/>
          <w:szCs w:val="22"/>
        </w:rPr>
        <w:t>i. V. m. § 21a der 9. BImSchV</w:t>
      </w:r>
    </w:p>
    <w:p>
      <w:pPr>
        <w:pStyle w:val="Fuzeile"/>
        <w:spacing w:line="312" w:lineRule="auto"/>
        <w:jc w:val="center"/>
        <w:rPr>
          <w:rFonts w:ascii="Arial" w:hAnsi="Arial" w:cs="Arial"/>
          <w:b/>
          <w:bCs/>
          <w:sz w:val="22"/>
          <w:szCs w:val="22"/>
        </w:rPr>
      </w:pPr>
    </w:p>
    <w:p>
      <w:pPr>
        <w:pStyle w:val="Fuzeile"/>
        <w:spacing w:line="312" w:lineRule="auto"/>
        <w:jc w:val="center"/>
        <w:rPr>
          <w:rFonts w:ascii="Arial" w:hAnsi="Arial" w:cs="Arial"/>
          <w:bCs/>
          <w:sz w:val="22"/>
          <w:szCs w:val="22"/>
        </w:rPr>
      </w:pPr>
      <w:r>
        <w:rPr>
          <w:rFonts w:ascii="Arial" w:hAnsi="Arial" w:cs="Arial"/>
          <w:bCs/>
          <w:sz w:val="22"/>
          <w:szCs w:val="22"/>
        </w:rPr>
        <w:t xml:space="preserve">Bekanntmachung des Staatlichen Amtes für Landwirtschaft und Umwelt Vorpommern </w:t>
      </w:r>
    </w:p>
    <w:p>
      <w:pPr>
        <w:pStyle w:val="Fuzeile"/>
        <w:spacing w:line="312" w:lineRule="auto"/>
        <w:jc w:val="center"/>
        <w:rPr>
          <w:rFonts w:ascii="Arial" w:hAnsi="Arial"/>
          <w:color w:val="000000"/>
          <w:sz w:val="22"/>
          <w:szCs w:val="22"/>
        </w:rPr>
      </w:pPr>
      <w:r>
        <w:rPr>
          <w:rFonts w:ascii="Arial" w:hAnsi="Arial" w:cs="Arial"/>
          <w:bCs/>
          <w:sz w:val="22"/>
          <w:szCs w:val="22"/>
        </w:rPr>
        <w:t>vom 28.07.2025</w:t>
      </w:r>
    </w:p>
    <w:p>
      <w:pPr>
        <w:pStyle w:val="Fuzeile"/>
        <w:tabs>
          <w:tab w:val="clear" w:pos="4536"/>
          <w:tab w:val="clear" w:pos="9072"/>
        </w:tabs>
        <w:spacing w:line="312" w:lineRule="auto"/>
        <w:rPr>
          <w:rFonts w:ascii="Arial" w:hAnsi="Arial"/>
          <w:color w:val="000000"/>
          <w:sz w:val="24"/>
          <w:szCs w:val="24"/>
        </w:rPr>
      </w:pPr>
    </w:p>
    <w:p>
      <w:pPr>
        <w:pStyle w:val="Fuzeile"/>
        <w:spacing w:line="312" w:lineRule="auto"/>
        <w:rPr>
          <w:rFonts w:ascii="Arial" w:hAnsi="Arial" w:cs="Arial"/>
          <w:color w:val="FF0000"/>
          <w:sz w:val="22"/>
          <w:szCs w:val="22"/>
        </w:rPr>
      </w:pPr>
      <w:r>
        <w:rPr>
          <w:rFonts w:ascii="Arial" w:hAnsi="Arial" w:cs="Arial"/>
          <w:color w:val="000000"/>
          <w:sz w:val="22"/>
          <w:szCs w:val="22"/>
        </w:rPr>
        <w:t xml:space="preserve">Gemäß § 10 Abs. 8 Satz 2 und 3 Bundes-Immissionsschutzgesetz (BImSchG) in der Fassung der Bekanntmachung vom 17. Mai 2013 (BGBl. I S. 1274), in der zurzeit gültigen Fassung und § 21a der Verordnung über das Genehmigungsverfahren (9. BImSchV) in der Fassung der Bekanntmachung vom </w:t>
      </w:r>
      <w:r>
        <w:rPr>
          <w:rFonts w:ascii="Arial" w:hAnsi="Arial" w:cs="Arial"/>
          <w:sz w:val="22"/>
          <w:szCs w:val="22"/>
        </w:rPr>
        <w:t>29. Mai 1992 (BGBl. I S. 1001), in der zurzeit gültigen Fassung, gibt</w:t>
      </w:r>
      <w:r>
        <w:rPr>
          <w:rFonts w:ascii="Arial" w:hAnsi="Arial" w:cs="Arial"/>
          <w:color w:val="FF0000"/>
          <w:sz w:val="22"/>
          <w:szCs w:val="22"/>
        </w:rPr>
        <w:t xml:space="preserve"> </w:t>
      </w:r>
      <w:r>
        <w:rPr>
          <w:rFonts w:ascii="Arial" w:hAnsi="Arial" w:cs="Arial"/>
          <w:sz w:val="22"/>
          <w:szCs w:val="22"/>
        </w:rPr>
        <w:t>das Staatliche Amt für Landwirtschaft und Umwelt Vorpommern bekannt:</w:t>
      </w:r>
    </w:p>
    <w:p>
      <w:pPr>
        <w:pStyle w:val="Textkrper2"/>
        <w:tabs>
          <w:tab w:val="left" w:pos="2127"/>
        </w:tabs>
        <w:spacing w:line="312" w:lineRule="auto"/>
        <w:rPr>
          <w:szCs w:val="22"/>
        </w:rPr>
      </w:pPr>
    </w:p>
    <w:p>
      <w:pPr>
        <w:spacing w:line="312" w:lineRule="auto"/>
        <w:rPr>
          <w:rFonts w:ascii="Arial" w:hAnsi="Arial" w:cs="Arial"/>
          <w:sz w:val="22"/>
          <w:szCs w:val="22"/>
        </w:rPr>
      </w:pPr>
      <w:r>
        <w:rPr>
          <w:rFonts w:ascii="Arial" w:hAnsi="Arial" w:cs="Arial"/>
          <w:color w:val="000000"/>
          <w:sz w:val="22"/>
          <w:szCs w:val="22"/>
        </w:rPr>
        <w:t xml:space="preserve">Mit Bescheid Nr. 1.6.2V-60.046/16-51 vom 30.06.2025 wurde der </w:t>
      </w:r>
      <w:r>
        <w:rPr>
          <w:rFonts w:ascii="Arial" w:eastAsia="Calibri" w:hAnsi="Arial" w:cs="Arial"/>
          <w:sz w:val="22"/>
          <w:szCs w:val="22"/>
          <w:lang w:eastAsia="en-US"/>
        </w:rPr>
        <w:t xml:space="preserve">Naturwind Schwerin GmbH Schelfstraße 35, 19055 Schwerin </w:t>
      </w:r>
      <w:r>
        <w:rPr>
          <w:rFonts w:ascii="Arial" w:hAnsi="Arial" w:cs="Arial"/>
          <w:color w:val="000000"/>
          <w:sz w:val="22"/>
          <w:szCs w:val="22"/>
        </w:rPr>
        <w:t xml:space="preserve">die immissionsschutzrechtliche Genehmigung gemäß § 4 BImSchG zur Errichtung und zum Betrieb von fünf Windenergieanlage (WEA) erteilt, deren </w:t>
      </w:r>
      <w:r>
        <w:rPr>
          <w:rFonts w:ascii="Arial" w:hAnsi="Arial" w:cs="Arial"/>
          <w:sz w:val="22"/>
          <w:szCs w:val="22"/>
        </w:rPr>
        <w:t>verfügender Teil folgenden Wortlaut hat:</w:t>
      </w:r>
    </w:p>
    <w:p>
      <w:pPr>
        <w:pStyle w:val="StandardWeb"/>
        <w:spacing w:before="0" w:beforeAutospacing="0" w:after="0" w:afterAutospacing="0" w:line="312" w:lineRule="auto"/>
        <w:rPr>
          <w:rFonts w:ascii="Arial" w:hAnsi="Arial" w:cs="Arial"/>
          <w:sz w:val="22"/>
          <w:szCs w:val="22"/>
        </w:rPr>
      </w:pPr>
    </w:p>
    <w:p>
      <w:pPr>
        <w:spacing w:line="312" w:lineRule="auto"/>
        <w:ind w:firstLine="708"/>
        <w:rPr>
          <w:rFonts w:ascii="Arial" w:hAnsi="Arial" w:cs="Arial"/>
          <w:b/>
          <w:bCs/>
          <w:sz w:val="22"/>
          <w:szCs w:val="22"/>
        </w:rPr>
      </w:pPr>
      <w:r>
        <w:rPr>
          <w:rFonts w:ascii="Arial" w:hAnsi="Arial" w:cs="Arial"/>
          <w:b/>
          <w:bCs/>
          <w:sz w:val="22"/>
          <w:szCs w:val="22"/>
        </w:rPr>
        <w:t>I. Entscheidung</w:t>
      </w:r>
    </w:p>
    <w:p>
      <w:pPr>
        <w:spacing w:line="276" w:lineRule="auto"/>
        <w:rPr>
          <w:rFonts w:ascii="Arial" w:hAnsi="Arial" w:cs="Arial"/>
          <w:sz w:val="22"/>
          <w:szCs w:val="22"/>
        </w:rPr>
      </w:pPr>
    </w:p>
    <w:p>
      <w:pPr>
        <w:spacing w:line="276" w:lineRule="auto"/>
        <w:ind w:firstLine="708"/>
        <w:rPr>
          <w:rFonts w:ascii="Arial" w:hAnsi="Arial" w:cs="Arial"/>
          <w:sz w:val="22"/>
          <w:szCs w:val="22"/>
        </w:rPr>
      </w:pPr>
      <w:r>
        <w:rPr>
          <w:rFonts w:ascii="Arial" w:hAnsi="Arial" w:cs="Arial"/>
          <w:sz w:val="22"/>
          <w:szCs w:val="22"/>
        </w:rPr>
        <w:t>1. Entscheidungsinhalt</w:t>
      </w:r>
    </w:p>
    <w:p>
      <w:pPr>
        <w:spacing w:line="276" w:lineRule="auto"/>
        <w:rPr>
          <w:rFonts w:ascii="Arial" w:hAnsi="Arial" w:cs="Arial"/>
          <w:sz w:val="22"/>
          <w:szCs w:val="22"/>
        </w:rPr>
      </w:pPr>
    </w:p>
    <w:p>
      <w:pPr>
        <w:spacing w:line="312" w:lineRule="auto"/>
        <w:ind w:firstLine="708"/>
        <w:rPr>
          <w:rFonts w:ascii="Arial" w:hAnsi="Arial" w:cs="Arial"/>
          <w:sz w:val="22"/>
          <w:szCs w:val="22"/>
        </w:rPr>
      </w:pPr>
      <w:r>
        <w:rPr>
          <w:rFonts w:ascii="Arial" w:hAnsi="Arial" w:cs="Arial"/>
          <w:sz w:val="22"/>
          <w:szCs w:val="22"/>
        </w:rPr>
        <w:t xml:space="preserve">1.1 Der    </w:t>
      </w:r>
    </w:p>
    <w:p>
      <w:pPr>
        <w:tabs>
          <w:tab w:val="left" w:pos="4962"/>
          <w:tab w:val="left" w:pos="5103"/>
        </w:tabs>
        <w:spacing w:line="360" w:lineRule="auto"/>
        <w:ind w:right="213"/>
        <w:jc w:val="center"/>
        <w:rPr>
          <w:rFonts w:ascii="Arial" w:hAnsi="Arial" w:cs="Arial"/>
          <w:sz w:val="22"/>
          <w:szCs w:val="22"/>
        </w:rPr>
      </w:pPr>
      <w:r>
        <w:rPr>
          <w:rFonts w:ascii="Arial" w:hAnsi="Arial" w:cs="Arial"/>
          <w:sz w:val="22"/>
          <w:szCs w:val="22"/>
        </w:rPr>
        <w:t>Natur</w:t>
      </w:r>
      <w:bookmarkStart w:id="0" w:name="_GoBack"/>
      <w:bookmarkEnd w:id="0"/>
      <w:r>
        <w:rPr>
          <w:rFonts w:ascii="Arial" w:hAnsi="Arial" w:cs="Arial"/>
          <w:sz w:val="22"/>
          <w:szCs w:val="22"/>
        </w:rPr>
        <w:t>wind Schwerin GmbH</w:t>
      </w:r>
    </w:p>
    <w:p>
      <w:pPr>
        <w:tabs>
          <w:tab w:val="left" w:pos="4962"/>
          <w:tab w:val="left" w:pos="5103"/>
        </w:tabs>
        <w:spacing w:line="360" w:lineRule="auto"/>
        <w:ind w:right="213"/>
        <w:jc w:val="center"/>
        <w:rPr>
          <w:rFonts w:ascii="Arial" w:hAnsi="Arial" w:cs="Arial"/>
          <w:sz w:val="22"/>
          <w:szCs w:val="22"/>
        </w:rPr>
      </w:pPr>
      <w:r>
        <w:rPr>
          <w:rFonts w:ascii="Arial" w:hAnsi="Arial" w:cs="Arial"/>
          <w:sz w:val="22"/>
          <w:szCs w:val="22"/>
        </w:rPr>
        <w:t>Schelfstraße 35</w:t>
      </w:r>
    </w:p>
    <w:p>
      <w:pPr>
        <w:tabs>
          <w:tab w:val="left" w:pos="4962"/>
          <w:tab w:val="left" w:pos="5103"/>
        </w:tabs>
        <w:spacing w:line="360" w:lineRule="auto"/>
        <w:ind w:right="213"/>
        <w:jc w:val="center"/>
        <w:rPr>
          <w:rFonts w:ascii="Arial" w:hAnsi="Arial" w:cs="Arial"/>
          <w:sz w:val="22"/>
          <w:szCs w:val="22"/>
        </w:rPr>
      </w:pPr>
      <w:r>
        <w:rPr>
          <w:rFonts w:ascii="Arial" w:hAnsi="Arial" w:cs="Arial"/>
          <w:sz w:val="22"/>
          <w:szCs w:val="22"/>
        </w:rPr>
        <w:t>19055 Schwerin</w:t>
      </w:r>
    </w:p>
    <w:p>
      <w:pPr>
        <w:spacing w:line="312" w:lineRule="auto"/>
        <w:jc w:val="both"/>
        <w:rPr>
          <w:rFonts w:ascii="Arial" w:hAnsi="Arial" w:cs="Arial"/>
          <w:sz w:val="22"/>
          <w:szCs w:val="22"/>
        </w:rPr>
      </w:pPr>
    </w:p>
    <w:p>
      <w:pPr>
        <w:spacing w:line="312" w:lineRule="auto"/>
        <w:ind w:left="708"/>
        <w:rPr>
          <w:rFonts w:ascii="Arial" w:hAnsi="Arial" w:cs="Arial"/>
          <w:sz w:val="22"/>
          <w:szCs w:val="22"/>
        </w:rPr>
      </w:pPr>
      <w:r>
        <w:rPr>
          <w:rFonts w:ascii="Arial" w:hAnsi="Arial" w:cs="Arial"/>
          <w:sz w:val="22"/>
          <w:szCs w:val="22"/>
        </w:rPr>
        <w:t xml:space="preserve">wird unbeschadet der Rechte Dritter auf ursprünglichen Antrag vom 29.03.2016 (Posteingang 29.03.2016), wesentlich geändert durch Einreichung der Antragsexemplare mit Anschreiben vom </w:t>
      </w:r>
      <w:r>
        <w:rPr>
          <w:rFonts w:ascii="Arial" w:eastAsiaTheme="minorHAnsi" w:hAnsi="Arial" w:cs="Arial"/>
          <w:color w:val="000000"/>
          <w:sz w:val="22"/>
          <w:szCs w:val="22"/>
          <w:lang w:eastAsia="en-US"/>
        </w:rPr>
        <w:t>15.01.2019 (Posteingang</w:t>
      </w:r>
      <w:r>
        <w:rPr>
          <w:rFonts w:ascii="Arial" w:hAnsi="Arial" w:cs="Arial"/>
          <w:sz w:val="22"/>
          <w:szCs w:val="22"/>
        </w:rPr>
        <w:t xml:space="preserve"> 21.02.2019) sowie geändert durch Nachreichung von Unterlagen zur Standortverschiebung der WEA I am 19.12.2023, die immissionsschutzrechtliche Genehmigung für die Errichtung und den Betrieb von fünf Windenergieanlagen (WEA) gemäß § 4 Abs. 1 Bundes-Immissionsschutzgesetz (BImSchG) erteilt.</w:t>
      </w:r>
    </w:p>
    <w:p>
      <w:pPr>
        <w:spacing w:line="312" w:lineRule="auto"/>
        <w:jc w:val="both"/>
        <w:rPr>
          <w:rFonts w:ascii="Arial" w:hAnsi="Arial" w:cs="Arial"/>
          <w:sz w:val="22"/>
          <w:szCs w:val="22"/>
        </w:rPr>
      </w:pPr>
    </w:p>
    <w:p>
      <w:pPr>
        <w:tabs>
          <w:tab w:val="left" w:pos="4962"/>
          <w:tab w:val="left" w:pos="5103"/>
        </w:tabs>
        <w:spacing w:line="312" w:lineRule="auto"/>
        <w:ind w:right="213" w:firstLine="709"/>
        <w:rPr>
          <w:rFonts w:ascii="Arial" w:hAnsi="Arial" w:cs="Arial"/>
          <w:sz w:val="22"/>
          <w:szCs w:val="22"/>
        </w:rPr>
      </w:pPr>
      <w:r>
        <w:rPr>
          <w:rFonts w:ascii="Arial" w:hAnsi="Arial" w:cs="Arial"/>
          <w:sz w:val="22"/>
          <w:szCs w:val="22"/>
        </w:rPr>
        <w:t>1.2 Die Genehmigung beinhaltet antragsgemäß Folgendes:</w:t>
      </w:r>
    </w:p>
    <w:p>
      <w:pPr>
        <w:tabs>
          <w:tab w:val="left" w:pos="4962"/>
          <w:tab w:val="left" w:pos="5103"/>
        </w:tabs>
        <w:spacing w:line="312" w:lineRule="auto"/>
        <w:ind w:right="215"/>
        <w:jc w:val="both"/>
        <w:rPr>
          <w:rFonts w:ascii="Arial" w:hAnsi="Arial" w:cs="Arial"/>
          <w:sz w:val="22"/>
          <w:szCs w:val="22"/>
        </w:rPr>
      </w:pPr>
    </w:p>
    <w:p>
      <w:pPr>
        <w:tabs>
          <w:tab w:val="left" w:pos="4962"/>
          <w:tab w:val="left" w:pos="5103"/>
        </w:tabs>
        <w:spacing w:line="312" w:lineRule="auto"/>
        <w:ind w:left="709" w:right="215"/>
        <w:rPr>
          <w:rFonts w:ascii="Arial" w:hAnsi="Arial" w:cs="Arial"/>
          <w:sz w:val="22"/>
          <w:szCs w:val="22"/>
        </w:rPr>
      </w:pPr>
      <w:r>
        <w:rPr>
          <w:rFonts w:ascii="Arial" w:hAnsi="Arial" w:cs="Arial"/>
          <w:sz w:val="22"/>
          <w:szCs w:val="22"/>
        </w:rPr>
        <w:t>Die Errichtung und den Betrieb von fünf WEA des Typs GE 158 mit einer Nennleistung von 5,3 MW entsprechend der nachstehenden Angaben.</w:t>
      </w:r>
    </w:p>
    <w:p>
      <w:pPr>
        <w:tabs>
          <w:tab w:val="left" w:pos="4962"/>
          <w:tab w:val="left" w:pos="5103"/>
        </w:tabs>
        <w:spacing w:line="312" w:lineRule="auto"/>
        <w:ind w:right="213"/>
        <w:rPr>
          <w:rFonts w:ascii="Arial" w:hAnsi="Arial" w:cs="Arial"/>
          <w:sz w:val="22"/>
          <w:szCs w:val="22"/>
        </w:rPr>
      </w:pPr>
    </w:p>
    <w:p>
      <w:pPr>
        <w:spacing w:line="360" w:lineRule="auto"/>
        <w:ind w:firstLine="709"/>
        <w:jc w:val="both"/>
        <w:rPr>
          <w:rFonts w:ascii="Arial" w:hAnsi="Arial" w:cs="Arial"/>
          <w:sz w:val="22"/>
          <w:szCs w:val="22"/>
        </w:rPr>
      </w:pPr>
      <w:r>
        <w:rPr>
          <w:rFonts w:ascii="Arial" w:hAnsi="Arial" w:cs="Arial"/>
          <w:sz w:val="22"/>
          <w:szCs w:val="22"/>
          <w:u w:val="single"/>
        </w:rPr>
        <w:t>Bauliche Angaben</w:t>
      </w:r>
      <w:r>
        <w:rPr>
          <w:rFonts w:ascii="Arial" w:hAnsi="Arial" w:cs="Arial"/>
          <w:sz w:val="22"/>
          <w:szCs w:val="22"/>
        </w:rPr>
        <w:t xml:space="preserve">: </w:t>
      </w:r>
    </w:p>
    <w:p>
      <w:pPr>
        <w:tabs>
          <w:tab w:val="left" w:pos="426"/>
        </w:tabs>
        <w:spacing w:line="360" w:lineRule="auto"/>
        <w:ind w:firstLine="709"/>
        <w:jc w:val="both"/>
        <w:rPr>
          <w:rFonts w:ascii="Arial" w:hAnsi="Arial" w:cs="Arial"/>
          <w:sz w:val="22"/>
          <w:szCs w:val="22"/>
        </w:rPr>
      </w:pPr>
      <w:r>
        <w:rPr>
          <w:rFonts w:ascii="Arial" w:hAnsi="Arial" w:cs="Arial"/>
          <w:sz w:val="22"/>
          <w:szCs w:val="22"/>
        </w:rPr>
        <w:t xml:space="preserve">WEA-Bezeichnung: </w:t>
      </w:r>
      <w:r>
        <w:rPr>
          <w:rFonts w:ascii="Arial" w:hAnsi="Arial" w:cs="Arial"/>
          <w:sz w:val="22"/>
          <w:szCs w:val="22"/>
        </w:rPr>
        <w:tab/>
      </w:r>
      <w:r>
        <w:rPr>
          <w:rFonts w:ascii="Arial" w:hAnsi="Arial" w:cs="Arial"/>
          <w:sz w:val="22"/>
          <w:szCs w:val="22"/>
        </w:rPr>
        <w:tab/>
        <w:t>WEA I bis WEA V</w:t>
      </w:r>
    </w:p>
    <w:p>
      <w:pPr>
        <w:tabs>
          <w:tab w:val="left" w:pos="426"/>
        </w:tabs>
        <w:spacing w:line="360" w:lineRule="auto"/>
        <w:ind w:firstLine="709"/>
        <w:jc w:val="both"/>
        <w:rPr>
          <w:rFonts w:ascii="Arial" w:hAnsi="Arial" w:cs="Arial"/>
          <w:sz w:val="22"/>
          <w:szCs w:val="22"/>
          <w:lang w:val="en-US"/>
        </w:rPr>
      </w:pPr>
      <w:proofErr w:type="spellStart"/>
      <w:r>
        <w:rPr>
          <w:rFonts w:ascii="Arial" w:hAnsi="Arial" w:cs="Arial"/>
          <w:sz w:val="22"/>
          <w:szCs w:val="22"/>
          <w:lang w:val="en-US"/>
        </w:rPr>
        <w:t>Typ-Bezeichnung</w:t>
      </w:r>
      <w:proofErr w:type="spellEnd"/>
      <w:r>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rPr>
        <w:t>GE 158</w:t>
      </w:r>
    </w:p>
    <w:p>
      <w:pPr>
        <w:tabs>
          <w:tab w:val="left" w:pos="426"/>
        </w:tabs>
        <w:spacing w:line="360" w:lineRule="auto"/>
        <w:ind w:firstLine="709"/>
        <w:jc w:val="both"/>
        <w:rPr>
          <w:rFonts w:ascii="Arial" w:hAnsi="Arial" w:cs="Arial"/>
          <w:sz w:val="22"/>
          <w:szCs w:val="22"/>
        </w:rPr>
      </w:pPr>
      <w:r>
        <w:rPr>
          <w:rFonts w:ascii="Arial" w:hAnsi="Arial" w:cs="Arial"/>
          <w:sz w:val="22"/>
          <w:szCs w:val="22"/>
        </w:rPr>
        <w:t xml:space="preserve">Nabenhöhe: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161,0 m   </w:t>
      </w:r>
    </w:p>
    <w:p>
      <w:pPr>
        <w:tabs>
          <w:tab w:val="left" w:pos="426"/>
        </w:tabs>
        <w:spacing w:line="360" w:lineRule="auto"/>
        <w:ind w:firstLine="709"/>
        <w:jc w:val="both"/>
        <w:rPr>
          <w:rFonts w:ascii="Arial" w:hAnsi="Arial" w:cs="Arial"/>
          <w:sz w:val="22"/>
          <w:szCs w:val="22"/>
        </w:rPr>
      </w:pPr>
      <w:r>
        <w:rPr>
          <w:rFonts w:ascii="Arial" w:hAnsi="Arial" w:cs="Arial"/>
          <w:sz w:val="22"/>
          <w:szCs w:val="22"/>
        </w:rPr>
        <w:t xml:space="preserve">Rotordurchmesser:  </w:t>
      </w:r>
      <w:r>
        <w:rPr>
          <w:rFonts w:ascii="Arial" w:hAnsi="Arial" w:cs="Arial"/>
          <w:sz w:val="22"/>
          <w:szCs w:val="22"/>
        </w:rPr>
        <w:tab/>
      </w:r>
      <w:r>
        <w:rPr>
          <w:rFonts w:ascii="Arial" w:hAnsi="Arial" w:cs="Arial"/>
          <w:sz w:val="22"/>
          <w:szCs w:val="22"/>
        </w:rPr>
        <w:tab/>
        <w:t xml:space="preserve">158,0 m      </w:t>
      </w:r>
    </w:p>
    <w:p>
      <w:pPr>
        <w:tabs>
          <w:tab w:val="left" w:pos="426"/>
        </w:tabs>
        <w:spacing w:line="360" w:lineRule="auto"/>
        <w:ind w:firstLine="709"/>
        <w:jc w:val="both"/>
        <w:rPr>
          <w:rFonts w:ascii="Arial" w:hAnsi="Arial" w:cs="Arial"/>
          <w:sz w:val="22"/>
          <w:szCs w:val="22"/>
        </w:rPr>
      </w:pPr>
      <w:r>
        <w:rPr>
          <w:rFonts w:ascii="Arial" w:hAnsi="Arial" w:cs="Arial"/>
          <w:sz w:val="22"/>
          <w:szCs w:val="22"/>
        </w:rPr>
        <w:lastRenderedPageBreak/>
        <w:t xml:space="preserve">Gesamthöhe über Grund:   </w:t>
      </w:r>
      <w:r>
        <w:rPr>
          <w:rFonts w:ascii="Arial" w:hAnsi="Arial" w:cs="Arial"/>
          <w:sz w:val="22"/>
          <w:szCs w:val="22"/>
        </w:rPr>
        <w:tab/>
        <w:t xml:space="preserve">240,0 m   </w:t>
      </w:r>
    </w:p>
    <w:p>
      <w:pPr>
        <w:tabs>
          <w:tab w:val="left" w:pos="426"/>
        </w:tabs>
        <w:spacing w:line="360" w:lineRule="auto"/>
        <w:ind w:firstLine="709"/>
        <w:rPr>
          <w:rFonts w:ascii="Arial" w:hAnsi="Arial" w:cs="Arial"/>
          <w:sz w:val="22"/>
          <w:szCs w:val="22"/>
        </w:rPr>
      </w:pPr>
      <w:r>
        <w:rPr>
          <w:rFonts w:ascii="Arial" w:hAnsi="Arial" w:cs="Arial"/>
          <w:sz w:val="22"/>
          <w:szCs w:val="22"/>
        </w:rPr>
        <w:t xml:space="preserve">Nennleistung:   </w:t>
      </w:r>
      <w:r>
        <w:rPr>
          <w:rFonts w:ascii="Arial" w:hAnsi="Arial" w:cs="Arial"/>
          <w:sz w:val="22"/>
          <w:szCs w:val="22"/>
        </w:rPr>
        <w:tab/>
      </w:r>
      <w:r>
        <w:rPr>
          <w:rFonts w:ascii="Arial" w:hAnsi="Arial" w:cs="Arial"/>
          <w:sz w:val="22"/>
          <w:szCs w:val="22"/>
        </w:rPr>
        <w:tab/>
        <w:t>5,3 MW</w:t>
      </w:r>
      <w:r>
        <w:rPr>
          <w:rFonts w:ascii="Arial" w:hAnsi="Arial" w:cs="Arial"/>
          <w:sz w:val="22"/>
          <w:szCs w:val="22"/>
        </w:rPr>
        <w:br/>
        <w:t xml:space="preserve">     </w:t>
      </w:r>
    </w:p>
    <w:p>
      <w:pPr>
        <w:tabs>
          <w:tab w:val="left" w:pos="720"/>
          <w:tab w:val="left" w:pos="4962"/>
          <w:tab w:val="left" w:pos="5103"/>
        </w:tabs>
        <w:spacing w:line="312" w:lineRule="auto"/>
        <w:ind w:right="213"/>
        <w:rPr>
          <w:rFonts w:ascii="Arial" w:hAnsi="Arial" w:cs="Arial"/>
          <w:bCs/>
          <w:sz w:val="22"/>
          <w:szCs w:val="22"/>
        </w:rPr>
      </w:pPr>
      <w:r>
        <w:rPr>
          <w:rFonts w:ascii="Arial" w:hAnsi="Arial" w:cs="Arial"/>
          <w:bCs/>
          <w:sz w:val="22"/>
          <w:szCs w:val="22"/>
        </w:rPr>
        <w:t xml:space="preserve">Tab. </w:t>
      </w:r>
      <w:r>
        <w:rPr>
          <w:rFonts w:ascii="Arial" w:hAnsi="Arial" w:cs="Arial"/>
          <w:bCs/>
          <w:sz w:val="22"/>
          <w:szCs w:val="22"/>
        </w:rPr>
        <w:fldChar w:fldCharType="begin"/>
      </w:r>
      <w:r>
        <w:rPr>
          <w:rFonts w:ascii="Arial" w:hAnsi="Arial" w:cs="Arial"/>
          <w:bCs/>
          <w:sz w:val="22"/>
          <w:szCs w:val="22"/>
        </w:rPr>
        <w:instrText xml:space="preserve"> SEQ Tab. \* ARABIC </w:instrText>
      </w:r>
      <w:r>
        <w:rPr>
          <w:rFonts w:ascii="Arial" w:hAnsi="Arial" w:cs="Arial"/>
          <w:bCs/>
          <w:sz w:val="22"/>
          <w:szCs w:val="22"/>
        </w:rPr>
        <w:fldChar w:fldCharType="separate"/>
      </w:r>
      <w:r>
        <w:rPr>
          <w:rFonts w:ascii="Arial" w:hAnsi="Arial" w:cs="Arial"/>
          <w:bCs/>
          <w:noProof/>
          <w:sz w:val="22"/>
          <w:szCs w:val="22"/>
        </w:rPr>
        <w:t>1</w:t>
      </w:r>
      <w:r>
        <w:rPr>
          <w:rFonts w:ascii="Arial" w:hAnsi="Arial" w:cs="Arial"/>
          <w:sz w:val="22"/>
          <w:szCs w:val="22"/>
        </w:rPr>
        <w:fldChar w:fldCharType="end"/>
      </w:r>
      <w:r>
        <w:rPr>
          <w:rFonts w:ascii="Arial" w:hAnsi="Arial" w:cs="Arial"/>
          <w:bCs/>
          <w:sz w:val="22"/>
          <w:szCs w:val="22"/>
        </w:rPr>
        <w:t xml:space="preserve">:  Standortdaten der WEAs  </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1418"/>
        <w:gridCol w:w="647"/>
        <w:gridCol w:w="1134"/>
        <w:gridCol w:w="4394"/>
      </w:tblGrid>
      <w:tr>
        <w:trPr>
          <w:jc w:val="center"/>
        </w:trPr>
        <w:tc>
          <w:tcPr>
            <w:tcW w:w="1838" w:type="dxa"/>
          </w:tcPr>
          <w:p>
            <w:pPr>
              <w:jc w:val="center"/>
              <w:rPr>
                <w:rFonts w:ascii="Arial" w:hAnsi="Arial" w:cs="Arial"/>
                <w:b/>
                <w:bCs/>
                <w:sz w:val="22"/>
                <w:szCs w:val="22"/>
              </w:rPr>
            </w:pPr>
            <w:r>
              <w:rPr>
                <w:rFonts w:ascii="Arial" w:hAnsi="Arial" w:cs="Arial"/>
                <w:b/>
                <w:bCs/>
                <w:sz w:val="22"/>
                <w:szCs w:val="22"/>
              </w:rPr>
              <w:t>WEA-Nr.</w:t>
            </w:r>
          </w:p>
          <w:p>
            <w:pPr>
              <w:jc w:val="center"/>
              <w:rPr>
                <w:rFonts w:ascii="Arial" w:hAnsi="Arial" w:cs="Arial"/>
                <w:b/>
                <w:bCs/>
                <w:sz w:val="22"/>
                <w:szCs w:val="22"/>
              </w:rPr>
            </w:pPr>
            <w:r>
              <w:rPr>
                <w:rFonts w:ascii="Arial" w:hAnsi="Arial" w:cs="Arial"/>
                <w:b/>
                <w:bCs/>
                <w:sz w:val="22"/>
                <w:szCs w:val="22"/>
              </w:rPr>
              <w:t>antragsinterne</w:t>
            </w:r>
          </w:p>
          <w:p>
            <w:pPr>
              <w:jc w:val="center"/>
              <w:rPr>
                <w:rFonts w:ascii="Arial" w:hAnsi="Arial" w:cs="Arial"/>
                <w:b/>
                <w:bCs/>
                <w:sz w:val="22"/>
                <w:szCs w:val="22"/>
              </w:rPr>
            </w:pPr>
            <w:r>
              <w:rPr>
                <w:rFonts w:ascii="Arial" w:hAnsi="Arial" w:cs="Arial"/>
                <w:b/>
                <w:bCs/>
                <w:sz w:val="22"/>
                <w:szCs w:val="22"/>
              </w:rPr>
              <w:t>Bezeichnung</w:t>
            </w:r>
          </w:p>
        </w:tc>
        <w:tc>
          <w:tcPr>
            <w:tcW w:w="1418" w:type="dxa"/>
          </w:tcPr>
          <w:p>
            <w:pPr>
              <w:jc w:val="center"/>
              <w:rPr>
                <w:rFonts w:ascii="Arial" w:hAnsi="Arial" w:cs="Arial"/>
                <w:b/>
                <w:bCs/>
                <w:sz w:val="22"/>
                <w:szCs w:val="22"/>
              </w:rPr>
            </w:pPr>
            <w:r>
              <w:rPr>
                <w:rFonts w:ascii="Arial" w:hAnsi="Arial" w:cs="Arial"/>
                <w:b/>
                <w:bCs/>
                <w:sz w:val="22"/>
                <w:szCs w:val="22"/>
              </w:rPr>
              <w:t>Gemarkung</w:t>
            </w:r>
          </w:p>
        </w:tc>
        <w:tc>
          <w:tcPr>
            <w:tcW w:w="647" w:type="dxa"/>
          </w:tcPr>
          <w:p>
            <w:pPr>
              <w:jc w:val="center"/>
              <w:rPr>
                <w:rFonts w:ascii="Arial" w:hAnsi="Arial" w:cs="Arial"/>
                <w:b/>
                <w:bCs/>
                <w:sz w:val="22"/>
                <w:szCs w:val="22"/>
              </w:rPr>
            </w:pPr>
            <w:r>
              <w:rPr>
                <w:rFonts w:ascii="Arial" w:hAnsi="Arial" w:cs="Arial"/>
                <w:b/>
                <w:bCs/>
                <w:sz w:val="22"/>
                <w:szCs w:val="22"/>
              </w:rPr>
              <w:t>Flur</w:t>
            </w:r>
          </w:p>
        </w:tc>
        <w:tc>
          <w:tcPr>
            <w:tcW w:w="1134" w:type="dxa"/>
          </w:tcPr>
          <w:p>
            <w:pPr>
              <w:jc w:val="center"/>
              <w:rPr>
                <w:rFonts w:ascii="Arial" w:hAnsi="Arial" w:cs="Arial"/>
                <w:b/>
                <w:bCs/>
                <w:sz w:val="22"/>
                <w:szCs w:val="22"/>
              </w:rPr>
            </w:pPr>
            <w:r>
              <w:rPr>
                <w:rFonts w:ascii="Arial" w:hAnsi="Arial" w:cs="Arial"/>
                <w:b/>
                <w:bCs/>
                <w:sz w:val="22"/>
                <w:szCs w:val="22"/>
              </w:rPr>
              <w:t>Flurstück</w:t>
            </w:r>
          </w:p>
        </w:tc>
        <w:tc>
          <w:tcPr>
            <w:tcW w:w="4394" w:type="dxa"/>
          </w:tcPr>
          <w:p>
            <w:pPr>
              <w:rPr>
                <w:rFonts w:ascii="Arial" w:hAnsi="Arial" w:cs="Arial"/>
                <w:b/>
                <w:bCs/>
                <w:sz w:val="22"/>
                <w:szCs w:val="22"/>
              </w:rPr>
            </w:pPr>
            <w:r>
              <w:rPr>
                <w:rFonts w:ascii="Arial" w:hAnsi="Arial" w:cs="Arial"/>
                <w:b/>
                <w:bCs/>
                <w:sz w:val="22"/>
                <w:szCs w:val="22"/>
              </w:rPr>
              <w:t xml:space="preserve">Standortkoordinaten nach Koordinatensystem </w:t>
            </w:r>
          </w:p>
          <w:p>
            <w:pPr>
              <w:rPr>
                <w:rFonts w:ascii="Arial" w:hAnsi="Arial" w:cs="Arial"/>
                <w:bCs/>
                <w:sz w:val="22"/>
                <w:szCs w:val="22"/>
              </w:rPr>
            </w:pPr>
            <w:r>
              <w:rPr>
                <w:rFonts w:ascii="Arial" w:hAnsi="Arial" w:cs="Arial"/>
                <w:b/>
                <w:bCs/>
                <w:sz w:val="22"/>
                <w:szCs w:val="22"/>
              </w:rPr>
              <w:t xml:space="preserve">(1) ETRS 89, Zone 33 </w:t>
            </w:r>
          </w:p>
        </w:tc>
      </w:tr>
      <w:tr>
        <w:trPr>
          <w:trHeight w:val="603"/>
          <w:jc w:val="center"/>
        </w:trPr>
        <w:tc>
          <w:tcPr>
            <w:tcW w:w="1838" w:type="dxa"/>
            <w:vAlign w:val="center"/>
          </w:tcPr>
          <w:p>
            <w:pPr>
              <w:jc w:val="center"/>
              <w:rPr>
                <w:rFonts w:ascii="Arial" w:hAnsi="Arial" w:cs="Arial"/>
                <w:bCs/>
                <w:sz w:val="22"/>
                <w:szCs w:val="22"/>
              </w:rPr>
            </w:pPr>
            <w:r>
              <w:rPr>
                <w:rFonts w:ascii="Arial" w:hAnsi="Arial" w:cs="Arial"/>
                <w:bCs/>
                <w:sz w:val="22"/>
                <w:szCs w:val="22"/>
              </w:rPr>
              <w:t>WEA I</w:t>
            </w:r>
          </w:p>
        </w:tc>
        <w:tc>
          <w:tcPr>
            <w:tcW w:w="1418" w:type="dxa"/>
            <w:vAlign w:val="center"/>
          </w:tcPr>
          <w:p>
            <w:pPr>
              <w:jc w:val="center"/>
              <w:rPr>
                <w:rFonts w:ascii="Arial" w:hAnsi="Arial" w:cs="Arial"/>
                <w:bCs/>
                <w:sz w:val="22"/>
                <w:szCs w:val="22"/>
              </w:rPr>
            </w:pPr>
            <w:proofErr w:type="spellStart"/>
            <w:r>
              <w:rPr>
                <w:rFonts w:ascii="Arial" w:hAnsi="Arial" w:cs="Arial"/>
                <w:bCs/>
                <w:sz w:val="22"/>
                <w:szCs w:val="22"/>
              </w:rPr>
              <w:t>Müssow</w:t>
            </w:r>
            <w:proofErr w:type="spellEnd"/>
          </w:p>
        </w:tc>
        <w:tc>
          <w:tcPr>
            <w:tcW w:w="647" w:type="dxa"/>
            <w:vAlign w:val="center"/>
          </w:tcPr>
          <w:p>
            <w:pPr>
              <w:jc w:val="center"/>
              <w:rPr>
                <w:rFonts w:ascii="Arial" w:hAnsi="Arial" w:cs="Arial"/>
                <w:bCs/>
                <w:sz w:val="22"/>
                <w:szCs w:val="22"/>
              </w:rPr>
            </w:pPr>
            <w:r>
              <w:rPr>
                <w:rFonts w:ascii="Arial" w:hAnsi="Arial" w:cs="Arial"/>
                <w:bCs/>
                <w:sz w:val="22"/>
                <w:szCs w:val="22"/>
              </w:rPr>
              <w:t>1</w:t>
            </w:r>
          </w:p>
        </w:tc>
        <w:tc>
          <w:tcPr>
            <w:tcW w:w="1134" w:type="dxa"/>
            <w:vAlign w:val="center"/>
          </w:tcPr>
          <w:p>
            <w:pPr>
              <w:jc w:val="center"/>
              <w:rPr>
                <w:rFonts w:ascii="Arial" w:hAnsi="Arial" w:cs="Arial"/>
                <w:bCs/>
                <w:sz w:val="22"/>
                <w:szCs w:val="22"/>
              </w:rPr>
            </w:pPr>
            <w:r>
              <w:rPr>
                <w:rFonts w:ascii="Arial" w:hAnsi="Arial" w:cs="Arial"/>
                <w:bCs/>
                <w:sz w:val="22"/>
                <w:szCs w:val="22"/>
              </w:rPr>
              <w:t>239/2</w:t>
            </w:r>
          </w:p>
        </w:tc>
        <w:tc>
          <w:tcPr>
            <w:tcW w:w="4394" w:type="dxa"/>
            <w:vAlign w:val="center"/>
          </w:tcPr>
          <w:p>
            <w:pPr>
              <w:rPr>
                <w:rFonts w:ascii="Arial" w:hAnsi="Arial" w:cs="Arial"/>
                <w:sz w:val="22"/>
                <w:szCs w:val="22"/>
              </w:rPr>
            </w:pPr>
            <w:r>
              <w:rPr>
                <w:rFonts w:ascii="Arial" w:hAnsi="Arial" w:cs="Arial"/>
                <w:sz w:val="22"/>
                <w:szCs w:val="22"/>
              </w:rPr>
              <w:t xml:space="preserve">       Rechtswert                      </w:t>
            </w:r>
            <w:proofErr w:type="spellStart"/>
            <w:r>
              <w:rPr>
                <w:rFonts w:ascii="Arial" w:hAnsi="Arial" w:cs="Arial"/>
                <w:sz w:val="22"/>
                <w:szCs w:val="22"/>
              </w:rPr>
              <w:t>Hochwert</w:t>
            </w:r>
            <w:proofErr w:type="spellEnd"/>
          </w:p>
          <w:p>
            <w:pPr>
              <w:rPr>
                <w:rFonts w:ascii="Arial" w:hAnsi="Arial" w:cs="Arial"/>
                <w:sz w:val="22"/>
                <w:szCs w:val="22"/>
              </w:rPr>
            </w:pPr>
            <w:r>
              <w:rPr>
                <w:rFonts w:ascii="Arial" w:hAnsi="Arial" w:cs="Arial"/>
                <w:sz w:val="22"/>
                <w:szCs w:val="22"/>
              </w:rPr>
              <w:t xml:space="preserve">      33395719,00                  5983517,70</w:t>
            </w:r>
          </w:p>
        </w:tc>
      </w:tr>
      <w:tr>
        <w:trPr>
          <w:trHeight w:val="677"/>
          <w:jc w:val="center"/>
        </w:trPr>
        <w:tc>
          <w:tcPr>
            <w:tcW w:w="1838" w:type="dxa"/>
            <w:vAlign w:val="center"/>
          </w:tcPr>
          <w:p>
            <w:pPr>
              <w:jc w:val="center"/>
              <w:rPr>
                <w:rFonts w:ascii="Arial" w:hAnsi="Arial" w:cs="Arial"/>
                <w:bCs/>
                <w:sz w:val="22"/>
                <w:szCs w:val="22"/>
              </w:rPr>
            </w:pPr>
            <w:r>
              <w:rPr>
                <w:rFonts w:ascii="Arial" w:hAnsi="Arial" w:cs="Arial"/>
                <w:bCs/>
                <w:sz w:val="22"/>
                <w:szCs w:val="22"/>
              </w:rPr>
              <w:t>WEA II</w:t>
            </w:r>
          </w:p>
        </w:tc>
        <w:tc>
          <w:tcPr>
            <w:tcW w:w="1418" w:type="dxa"/>
            <w:vAlign w:val="center"/>
          </w:tcPr>
          <w:p>
            <w:pPr>
              <w:jc w:val="center"/>
              <w:rPr>
                <w:rFonts w:ascii="Arial" w:hAnsi="Arial" w:cs="Arial"/>
                <w:bCs/>
                <w:sz w:val="22"/>
                <w:szCs w:val="22"/>
              </w:rPr>
            </w:pPr>
            <w:proofErr w:type="spellStart"/>
            <w:r>
              <w:rPr>
                <w:rFonts w:ascii="Arial" w:hAnsi="Arial" w:cs="Arial"/>
                <w:bCs/>
                <w:sz w:val="22"/>
                <w:szCs w:val="22"/>
              </w:rPr>
              <w:t>Müssow</w:t>
            </w:r>
            <w:proofErr w:type="spellEnd"/>
          </w:p>
        </w:tc>
        <w:tc>
          <w:tcPr>
            <w:tcW w:w="647" w:type="dxa"/>
            <w:vAlign w:val="center"/>
          </w:tcPr>
          <w:p>
            <w:pPr>
              <w:jc w:val="center"/>
              <w:rPr>
                <w:rFonts w:ascii="Arial" w:hAnsi="Arial" w:cs="Arial"/>
                <w:bCs/>
                <w:sz w:val="22"/>
                <w:szCs w:val="22"/>
              </w:rPr>
            </w:pPr>
            <w:r>
              <w:rPr>
                <w:rFonts w:ascii="Arial" w:hAnsi="Arial" w:cs="Arial"/>
                <w:bCs/>
                <w:sz w:val="22"/>
                <w:szCs w:val="22"/>
              </w:rPr>
              <w:t>1</w:t>
            </w:r>
          </w:p>
        </w:tc>
        <w:tc>
          <w:tcPr>
            <w:tcW w:w="1134" w:type="dxa"/>
            <w:vAlign w:val="center"/>
          </w:tcPr>
          <w:p>
            <w:pPr>
              <w:jc w:val="center"/>
              <w:rPr>
                <w:rFonts w:ascii="Arial" w:hAnsi="Arial" w:cs="Arial"/>
                <w:bCs/>
                <w:sz w:val="22"/>
                <w:szCs w:val="22"/>
              </w:rPr>
            </w:pPr>
            <w:r>
              <w:rPr>
                <w:rFonts w:ascii="Arial" w:hAnsi="Arial" w:cs="Arial"/>
                <w:bCs/>
                <w:sz w:val="22"/>
                <w:szCs w:val="22"/>
              </w:rPr>
              <w:t>235</w:t>
            </w:r>
          </w:p>
        </w:tc>
        <w:tc>
          <w:tcPr>
            <w:tcW w:w="4394" w:type="dxa"/>
            <w:vAlign w:val="center"/>
          </w:tcPr>
          <w:p>
            <w:pPr>
              <w:rPr>
                <w:rFonts w:ascii="Arial" w:hAnsi="Arial" w:cs="Arial"/>
                <w:sz w:val="22"/>
                <w:szCs w:val="22"/>
              </w:rPr>
            </w:pPr>
            <w:r>
              <w:rPr>
                <w:rFonts w:ascii="Arial" w:hAnsi="Arial" w:cs="Arial"/>
                <w:sz w:val="22"/>
                <w:szCs w:val="22"/>
              </w:rPr>
              <w:t xml:space="preserve">       Rechtswert                      </w:t>
            </w:r>
            <w:proofErr w:type="spellStart"/>
            <w:r>
              <w:rPr>
                <w:rFonts w:ascii="Arial" w:hAnsi="Arial" w:cs="Arial"/>
                <w:sz w:val="22"/>
                <w:szCs w:val="22"/>
              </w:rPr>
              <w:t>Hochwert</w:t>
            </w:r>
            <w:proofErr w:type="spellEnd"/>
          </w:p>
          <w:p>
            <w:pPr>
              <w:rPr>
                <w:rFonts w:ascii="Arial" w:hAnsi="Arial" w:cs="Arial"/>
                <w:sz w:val="22"/>
                <w:szCs w:val="22"/>
              </w:rPr>
            </w:pPr>
            <w:r>
              <w:rPr>
                <w:rFonts w:ascii="Arial" w:hAnsi="Arial" w:cs="Arial"/>
                <w:sz w:val="22"/>
                <w:szCs w:val="22"/>
              </w:rPr>
              <w:t xml:space="preserve">      33395600,56                  5983160,56</w:t>
            </w:r>
          </w:p>
        </w:tc>
      </w:tr>
      <w:tr>
        <w:trPr>
          <w:trHeight w:val="723"/>
          <w:jc w:val="center"/>
        </w:trPr>
        <w:tc>
          <w:tcPr>
            <w:tcW w:w="1838" w:type="dxa"/>
            <w:vAlign w:val="center"/>
          </w:tcPr>
          <w:p>
            <w:pPr>
              <w:jc w:val="center"/>
              <w:rPr>
                <w:rFonts w:ascii="Arial" w:hAnsi="Arial" w:cs="Arial"/>
                <w:bCs/>
                <w:sz w:val="22"/>
                <w:szCs w:val="22"/>
              </w:rPr>
            </w:pPr>
            <w:r>
              <w:rPr>
                <w:rFonts w:ascii="Arial" w:hAnsi="Arial" w:cs="Arial"/>
                <w:bCs/>
                <w:sz w:val="22"/>
                <w:szCs w:val="22"/>
              </w:rPr>
              <w:t>WEA III</w:t>
            </w:r>
          </w:p>
        </w:tc>
        <w:tc>
          <w:tcPr>
            <w:tcW w:w="1418" w:type="dxa"/>
            <w:vAlign w:val="center"/>
          </w:tcPr>
          <w:p>
            <w:pPr>
              <w:jc w:val="center"/>
              <w:rPr>
                <w:rFonts w:ascii="Arial" w:hAnsi="Arial" w:cs="Arial"/>
                <w:bCs/>
                <w:sz w:val="22"/>
                <w:szCs w:val="22"/>
              </w:rPr>
            </w:pPr>
            <w:proofErr w:type="spellStart"/>
            <w:r>
              <w:rPr>
                <w:rFonts w:ascii="Arial" w:hAnsi="Arial" w:cs="Arial"/>
                <w:bCs/>
                <w:sz w:val="22"/>
                <w:szCs w:val="22"/>
              </w:rPr>
              <w:t>Müssow</w:t>
            </w:r>
            <w:proofErr w:type="spellEnd"/>
          </w:p>
        </w:tc>
        <w:tc>
          <w:tcPr>
            <w:tcW w:w="647" w:type="dxa"/>
            <w:vAlign w:val="center"/>
          </w:tcPr>
          <w:p>
            <w:pPr>
              <w:jc w:val="center"/>
              <w:rPr>
                <w:rFonts w:ascii="Arial" w:hAnsi="Arial" w:cs="Arial"/>
                <w:bCs/>
                <w:sz w:val="22"/>
                <w:szCs w:val="22"/>
              </w:rPr>
            </w:pPr>
            <w:r>
              <w:rPr>
                <w:rFonts w:ascii="Arial" w:hAnsi="Arial" w:cs="Arial"/>
                <w:bCs/>
                <w:sz w:val="22"/>
                <w:szCs w:val="22"/>
              </w:rPr>
              <w:t>1</w:t>
            </w:r>
          </w:p>
        </w:tc>
        <w:tc>
          <w:tcPr>
            <w:tcW w:w="1134" w:type="dxa"/>
            <w:vAlign w:val="center"/>
          </w:tcPr>
          <w:p>
            <w:pPr>
              <w:jc w:val="center"/>
              <w:rPr>
                <w:rFonts w:ascii="Arial" w:hAnsi="Arial" w:cs="Arial"/>
                <w:bCs/>
                <w:sz w:val="22"/>
                <w:szCs w:val="22"/>
              </w:rPr>
            </w:pPr>
            <w:r>
              <w:rPr>
                <w:rFonts w:ascii="Arial" w:hAnsi="Arial" w:cs="Arial"/>
                <w:bCs/>
                <w:sz w:val="22"/>
                <w:szCs w:val="22"/>
              </w:rPr>
              <w:t>214/2</w:t>
            </w:r>
          </w:p>
        </w:tc>
        <w:tc>
          <w:tcPr>
            <w:tcW w:w="4394" w:type="dxa"/>
            <w:vAlign w:val="center"/>
          </w:tcPr>
          <w:p>
            <w:pPr>
              <w:rPr>
                <w:rFonts w:ascii="Arial" w:hAnsi="Arial" w:cs="Arial"/>
                <w:sz w:val="22"/>
                <w:szCs w:val="22"/>
              </w:rPr>
            </w:pPr>
            <w:r>
              <w:rPr>
                <w:rFonts w:ascii="Arial" w:hAnsi="Arial" w:cs="Arial"/>
                <w:sz w:val="22"/>
                <w:szCs w:val="22"/>
              </w:rPr>
              <w:t xml:space="preserve">       Rechtswert                      </w:t>
            </w:r>
            <w:proofErr w:type="spellStart"/>
            <w:r>
              <w:rPr>
                <w:rFonts w:ascii="Arial" w:hAnsi="Arial" w:cs="Arial"/>
                <w:sz w:val="22"/>
                <w:szCs w:val="22"/>
              </w:rPr>
              <w:t>Hochwert</w:t>
            </w:r>
            <w:proofErr w:type="spellEnd"/>
          </w:p>
          <w:p>
            <w:pPr>
              <w:rPr>
                <w:rFonts w:ascii="Arial" w:hAnsi="Arial" w:cs="Arial"/>
                <w:sz w:val="22"/>
                <w:szCs w:val="22"/>
              </w:rPr>
            </w:pPr>
            <w:r>
              <w:rPr>
                <w:rFonts w:ascii="Arial" w:hAnsi="Arial" w:cs="Arial"/>
                <w:sz w:val="22"/>
                <w:szCs w:val="22"/>
              </w:rPr>
              <w:t xml:space="preserve">     33396144,04                    5983365,00</w:t>
            </w:r>
          </w:p>
        </w:tc>
      </w:tr>
      <w:tr>
        <w:trPr>
          <w:trHeight w:val="723"/>
          <w:jc w:val="center"/>
        </w:trPr>
        <w:tc>
          <w:tcPr>
            <w:tcW w:w="1838" w:type="dxa"/>
            <w:vAlign w:val="center"/>
          </w:tcPr>
          <w:p>
            <w:pPr>
              <w:jc w:val="center"/>
              <w:rPr>
                <w:rFonts w:ascii="Arial" w:hAnsi="Arial" w:cs="Arial"/>
                <w:bCs/>
                <w:sz w:val="22"/>
                <w:szCs w:val="22"/>
              </w:rPr>
            </w:pPr>
            <w:r>
              <w:rPr>
                <w:rFonts w:ascii="Arial" w:hAnsi="Arial" w:cs="Arial"/>
                <w:bCs/>
                <w:sz w:val="22"/>
                <w:szCs w:val="22"/>
              </w:rPr>
              <w:t>WEA IV</w:t>
            </w:r>
          </w:p>
        </w:tc>
        <w:tc>
          <w:tcPr>
            <w:tcW w:w="1418" w:type="dxa"/>
            <w:vAlign w:val="center"/>
          </w:tcPr>
          <w:p>
            <w:pPr>
              <w:jc w:val="center"/>
              <w:rPr>
                <w:rFonts w:ascii="Arial" w:hAnsi="Arial" w:cs="Arial"/>
                <w:bCs/>
                <w:sz w:val="22"/>
                <w:szCs w:val="22"/>
              </w:rPr>
            </w:pPr>
            <w:proofErr w:type="spellStart"/>
            <w:r>
              <w:rPr>
                <w:rFonts w:ascii="Arial" w:hAnsi="Arial" w:cs="Arial"/>
                <w:bCs/>
                <w:sz w:val="22"/>
                <w:szCs w:val="22"/>
              </w:rPr>
              <w:t>Müssow</w:t>
            </w:r>
            <w:proofErr w:type="spellEnd"/>
          </w:p>
        </w:tc>
        <w:tc>
          <w:tcPr>
            <w:tcW w:w="647" w:type="dxa"/>
            <w:vAlign w:val="center"/>
          </w:tcPr>
          <w:p>
            <w:pPr>
              <w:jc w:val="center"/>
              <w:rPr>
                <w:rFonts w:ascii="Arial" w:hAnsi="Arial" w:cs="Arial"/>
                <w:bCs/>
                <w:sz w:val="22"/>
                <w:szCs w:val="22"/>
              </w:rPr>
            </w:pPr>
            <w:r>
              <w:rPr>
                <w:rFonts w:ascii="Arial" w:hAnsi="Arial" w:cs="Arial"/>
                <w:bCs/>
                <w:sz w:val="22"/>
                <w:szCs w:val="22"/>
              </w:rPr>
              <w:t>1</w:t>
            </w:r>
          </w:p>
        </w:tc>
        <w:tc>
          <w:tcPr>
            <w:tcW w:w="1134" w:type="dxa"/>
            <w:vAlign w:val="center"/>
          </w:tcPr>
          <w:p>
            <w:pPr>
              <w:jc w:val="center"/>
              <w:rPr>
                <w:rFonts w:ascii="Arial" w:hAnsi="Arial" w:cs="Arial"/>
                <w:bCs/>
                <w:sz w:val="22"/>
                <w:szCs w:val="22"/>
              </w:rPr>
            </w:pPr>
            <w:r>
              <w:rPr>
                <w:rFonts w:ascii="Arial" w:hAnsi="Arial" w:cs="Arial"/>
                <w:bCs/>
                <w:sz w:val="22"/>
                <w:szCs w:val="22"/>
              </w:rPr>
              <w:t>211</w:t>
            </w:r>
          </w:p>
        </w:tc>
        <w:tc>
          <w:tcPr>
            <w:tcW w:w="4394" w:type="dxa"/>
            <w:vAlign w:val="center"/>
          </w:tcPr>
          <w:p>
            <w:pPr>
              <w:rPr>
                <w:rFonts w:ascii="Arial" w:hAnsi="Arial" w:cs="Arial"/>
                <w:sz w:val="22"/>
                <w:szCs w:val="22"/>
              </w:rPr>
            </w:pPr>
            <w:r>
              <w:rPr>
                <w:rFonts w:ascii="Arial" w:hAnsi="Arial" w:cs="Arial"/>
                <w:sz w:val="22"/>
                <w:szCs w:val="22"/>
              </w:rPr>
              <w:t xml:space="preserve">       Rechtswert                      </w:t>
            </w:r>
            <w:proofErr w:type="spellStart"/>
            <w:r>
              <w:rPr>
                <w:rFonts w:ascii="Arial" w:hAnsi="Arial" w:cs="Arial"/>
                <w:sz w:val="22"/>
                <w:szCs w:val="22"/>
              </w:rPr>
              <w:t>Hochwert</w:t>
            </w:r>
            <w:proofErr w:type="spellEnd"/>
          </w:p>
          <w:p>
            <w:pPr>
              <w:rPr>
                <w:rFonts w:ascii="Arial" w:hAnsi="Arial" w:cs="Arial"/>
                <w:sz w:val="22"/>
                <w:szCs w:val="22"/>
              </w:rPr>
            </w:pPr>
            <w:r>
              <w:rPr>
                <w:rFonts w:ascii="Arial" w:hAnsi="Arial" w:cs="Arial"/>
                <w:sz w:val="22"/>
                <w:szCs w:val="22"/>
              </w:rPr>
              <w:t xml:space="preserve">      33395991,04                  5982974,00</w:t>
            </w:r>
          </w:p>
        </w:tc>
      </w:tr>
      <w:tr>
        <w:trPr>
          <w:trHeight w:val="723"/>
          <w:jc w:val="center"/>
        </w:trPr>
        <w:tc>
          <w:tcPr>
            <w:tcW w:w="1838" w:type="dxa"/>
            <w:vAlign w:val="center"/>
          </w:tcPr>
          <w:p>
            <w:pPr>
              <w:jc w:val="center"/>
              <w:rPr>
                <w:rFonts w:ascii="Arial" w:hAnsi="Arial" w:cs="Arial"/>
                <w:bCs/>
                <w:sz w:val="22"/>
                <w:szCs w:val="22"/>
              </w:rPr>
            </w:pPr>
            <w:r>
              <w:rPr>
                <w:rFonts w:ascii="Arial" w:hAnsi="Arial" w:cs="Arial"/>
                <w:bCs/>
                <w:sz w:val="22"/>
                <w:szCs w:val="22"/>
              </w:rPr>
              <w:t>WEA V</w:t>
            </w:r>
          </w:p>
        </w:tc>
        <w:tc>
          <w:tcPr>
            <w:tcW w:w="1418" w:type="dxa"/>
            <w:vAlign w:val="center"/>
          </w:tcPr>
          <w:p>
            <w:pPr>
              <w:jc w:val="center"/>
              <w:rPr>
                <w:rFonts w:ascii="Arial" w:hAnsi="Arial" w:cs="Arial"/>
                <w:bCs/>
                <w:sz w:val="22"/>
                <w:szCs w:val="22"/>
              </w:rPr>
            </w:pPr>
            <w:proofErr w:type="spellStart"/>
            <w:r>
              <w:rPr>
                <w:rFonts w:ascii="Arial" w:hAnsi="Arial" w:cs="Arial"/>
                <w:bCs/>
                <w:sz w:val="22"/>
                <w:szCs w:val="22"/>
              </w:rPr>
              <w:t>Müssow</w:t>
            </w:r>
            <w:proofErr w:type="spellEnd"/>
          </w:p>
        </w:tc>
        <w:tc>
          <w:tcPr>
            <w:tcW w:w="647" w:type="dxa"/>
            <w:vAlign w:val="center"/>
          </w:tcPr>
          <w:p>
            <w:pPr>
              <w:jc w:val="center"/>
              <w:rPr>
                <w:rFonts w:ascii="Arial" w:hAnsi="Arial" w:cs="Arial"/>
                <w:bCs/>
                <w:sz w:val="22"/>
                <w:szCs w:val="22"/>
              </w:rPr>
            </w:pPr>
            <w:r>
              <w:rPr>
                <w:rFonts w:ascii="Arial" w:hAnsi="Arial" w:cs="Arial"/>
                <w:bCs/>
                <w:sz w:val="22"/>
                <w:szCs w:val="22"/>
              </w:rPr>
              <w:t>1</w:t>
            </w:r>
          </w:p>
        </w:tc>
        <w:tc>
          <w:tcPr>
            <w:tcW w:w="1134" w:type="dxa"/>
            <w:vAlign w:val="center"/>
          </w:tcPr>
          <w:p>
            <w:pPr>
              <w:jc w:val="center"/>
              <w:rPr>
                <w:rFonts w:ascii="Arial" w:hAnsi="Arial" w:cs="Arial"/>
                <w:bCs/>
                <w:sz w:val="22"/>
                <w:szCs w:val="22"/>
              </w:rPr>
            </w:pPr>
            <w:r>
              <w:rPr>
                <w:rFonts w:ascii="Arial" w:hAnsi="Arial" w:cs="Arial"/>
                <w:bCs/>
                <w:sz w:val="22"/>
                <w:szCs w:val="22"/>
              </w:rPr>
              <w:t>209</w:t>
            </w:r>
          </w:p>
        </w:tc>
        <w:tc>
          <w:tcPr>
            <w:tcW w:w="4394" w:type="dxa"/>
            <w:vAlign w:val="center"/>
          </w:tcPr>
          <w:p>
            <w:pPr>
              <w:rPr>
                <w:rFonts w:ascii="Arial" w:hAnsi="Arial" w:cs="Arial"/>
                <w:sz w:val="22"/>
                <w:szCs w:val="22"/>
              </w:rPr>
            </w:pPr>
            <w:r>
              <w:rPr>
                <w:rFonts w:ascii="Arial" w:hAnsi="Arial" w:cs="Arial"/>
                <w:sz w:val="22"/>
                <w:szCs w:val="22"/>
              </w:rPr>
              <w:t xml:space="preserve">      Rechtswert                      </w:t>
            </w:r>
            <w:proofErr w:type="spellStart"/>
            <w:r>
              <w:rPr>
                <w:rFonts w:ascii="Arial" w:hAnsi="Arial" w:cs="Arial"/>
                <w:sz w:val="22"/>
                <w:szCs w:val="22"/>
              </w:rPr>
              <w:t>Hochwert</w:t>
            </w:r>
            <w:proofErr w:type="spellEnd"/>
          </w:p>
          <w:p>
            <w:pPr>
              <w:rPr>
                <w:rFonts w:ascii="Arial" w:hAnsi="Arial" w:cs="Arial"/>
                <w:sz w:val="22"/>
                <w:szCs w:val="22"/>
              </w:rPr>
            </w:pPr>
            <w:r>
              <w:rPr>
                <w:rFonts w:ascii="Arial" w:hAnsi="Arial" w:cs="Arial"/>
                <w:sz w:val="22"/>
                <w:szCs w:val="22"/>
              </w:rPr>
              <w:t xml:space="preserve">     33396443,38                   5983092,71</w:t>
            </w:r>
          </w:p>
        </w:tc>
      </w:tr>
    </w:tbl>
    <w:p>
      <w:pPr>
        <w:spacing w:line="312" w:lineRule="auto"/>
        <w:ind w:hanging="11"/>
        <w:rPr>
          <w:rFonts w:ascii="Arial" w:hAnsi="Arial" w:cs="Arial"/>
          <w:sz w:val="22"/>
          <w:szCs w:val="22"/>
        </w:rPr>
      </w:pPr>
    </w:p>
    <w:p>
      <w:pPr>
        <w:spacing w:line="312" w:lineRule="auto"/>
        <w:ind w:left="708"/>
        <w:rPr>
          <w:rFonts w:ascii="Arial" w:hAnsi="Arial" w:cs="Arial"/>
          <w:sz w:val="22"/>
          <w:szCs w:val="22"/>
        </w:rPr>
      </w:pPr>
      <w:r>
        <w:rPr>
          <w:rFonts w:ascii="Arial" w:hAnsi="Arial" w:cs="Arial"/>
          <w:sz w:val="22"/>
          <w:szCs w:val="22"/>
        </w:rPr>
        <w:t>Eingeschlossen in die Genehmigung sind die zur Errichtung und zum Betrieb der zu den genehmigten WEA notwendigen Erschließungswege, Stellplätze und die windparkinterne Verkabelung.</w:t>
      </w:r>
    </w:p>
    <w:p>
      <w:pPr>
        <w:spacing w:line="312" w:lineRule="auto"/>
        <w:ind w:hanging="11"/>
        <w:rPr>
          <w:rFonts w:ascii="Arial" w:hAnsi="Arial" w:cs="Arial"/>
          <w:sz w:val="22"/>
          <w:szCs w:val="22"/>
        </w:rPr>
      </w:pPr>
    </w:p>
    <w:p>
      <w:pPr>
        <w:spacing w:line="312" w:lineRule="auto"/>
        <w:ind w:left="708" w:firstLine="1"/>
        <w:rPr>
          <w:rFonts w:ascii="Arial" w:hAnsi="Arial" w:cs="Arial"/>
          <w:sz w:val="22"/>
          <w:szCs w:val="22"/>
        </w:rPr>
      </w:pPr>
      <w:r>
        <w:rPr>
          <w:rFonts w:ascii="Arial" w:hAnsi="Arial" w:cs="Arial"/>
          <w:sz w:val="22"/>
          <w:szCs w:val="22"/>
        </w:rPr>
        <w:t>1.3 Die Genehmigung erfolgt für den Dauerbetrieb der WEA I bis WEA V, täglich von 0.00 – 24.00 Uhr mit Einschränkungen entsprechend den modifizierten Nebenbestimmungen nach Ziffern I.3.4.3, I.3.4.7, I.3.4.8, I.3.10.14, I.3.10.17 und I.3.10.20 des Genehmigungsbescheides (Schall, Schattenwurf, Artenschutz).</w:t>
      </w:r>
    </w:p>
    <w:p>
      <w:pPr>
        <w:spacing w:line="312" w:lineRule="auto"/>
        <w:ind w:hanging="11"/>
        <w:rPr>
          <w:rFonts w:ascii="Arial" w:hAnsi="Arial" w:cs="Arial"/>
          <w:sz w:val="22"/>
          <w:szCs w:val="22"/>
        </w:rPr>
      </w:pPr>
    </w:p>
    <w:p>
      <w:pPr>
        <w:spacing w:line="312" w:lineRule="auto"/>
        <w:ind w:left="708"/>
        <w:rPr>
          <w:rFonts w:ascii="Arial" w:hAnsi="Arial" w:cs="Arial"/>
          <w:sz w:val="22"/>
          <w:szCs w:val="22"/>
        </w:rPr>
      </w:pPr>
      <w:r>
        <w:rPr>
          <w:rFonts w:ascii="Arial" w:hAnsi="Arial" w:cs="Arial"/>
          <w:sz w:val="22"/>
          <w:szCs w:val="22"/>
        </w:rPr>
        <w:t>1.4 Die Genehmigung schließt folgende Entscheidungen anderer Behörden mit ein (§ 13 BImSchG):</w:t>
      </w:r>
    </w:p>
    <w:p>
      <w:pPr>
        <w:widowControl w:val="0"/>
        <w:numPr>
          <w:ilvl w:val="0"/>
          <w:numId w:val="2"/>
        </w:numPr>
        <w:autoSpaceDE w:val="0"/>
        <w:autoSpaceDN w:val="0"/>
        <w:adjustRightInd w:val="0"/>
        <w:spacing w:line="312" w:lineRule="auto"/>
        <w:ind w:left="1134" w:hanging="425"/>
        <w:rPr>
          <w:rFonts w:ascii="Arial" w:hAnsi="Arial" w:cs="Arial"/>
          <w:sz w:val="22"/>
          <w:szCs w:val="22"/>
        </w:rPr>
      </w:pPr>
      <w:r>
        <w:rPr>
          <w:rFonts w:ascii="Arial" w:hAnsi="Arial" w:cs="Arial"/>
          <w:sz w:val="22"/>
          <w:szCs w:val="22"/>
        </w:rPr>
        <w:t>Baugenehmigung gemäß § 72 Landesbauordnung Mecklenburg-Vorpommern (</w:t>
      </w:r>
      <w:proofErr w:type="spellStart"/>
      <w:r>
        <w:rPr>
          <w:rFonts w:ascii="Arial" w:hAnsi="Arial" w:cs="Arial"/>
          <w:sz w:val="22"/>
          <w:szCs w:val="22"/>
        </w:rPr>
        <w:t>LBauO</w:t>
      </w:r>
      <w:proofErr w:type="spellEnd"/>
      <w:r>
        <w:rPr>
          <w:rFonts w:ascii="Arial" w:hAnsi="Arial" w:cs="Arial"/>
          <w:sz w:val="22"/>
          <w:szCs w:val="22"/>
        </w:rPr>
        <w:t xml:space="preserve"> M-V)</w:t>
      </w:r>
    </w:p>
    <w:p>
      <w:pPr>
        <w:widowControl w:val="0"/>
        <w:numPr>
          <w:ilvl w:val="0"/>
          <w:numId w:val="2"/>
        </w:numPr>
        <w:autoSpaceDE w:val="0"/>
        <w:autoSpaceDN w:val="0"/>
        <w:adjustRightInd w:val="0"/>
        <w:spacing w:line="312" w:lineRule="auto"/>
        <w:ind w:left="1134" w:hanging="425"/>
        <w:rPr>
          <w:rFonts w:ascii="Arial" w:hAnsi="Arial" w:cs="Arial"/>
          <w:sz w:val="22"/>
          <w:szCs w:val="22"/>
        </w:rPr>
      </w:pPr>
      <w:r>
        <w:rPr>
          <w:rFonts w:ascii="Arial" w:hAnsi="Arial" w:cs="Arial"/>
          <w:sz w:val="22"/>
          <w:szCs w:val="22"/>
        </w:rPr>
        <w:t>Zustimmung der Luftfahrtbehörde des Landes Mecklenburg-Vorpommern gemäß § 14 Abs. 1 i. V. m. § 12 Abs. 4 Luftverkehrsgesetz (LuftVG)</w:t>
      </w:r>
    </w:p>
    <w:p>
      <w:pPr>
        <w:widowControl w:val="0"/>
        <w:numPr>
          <w:ilvl w:val="0"/>
          <w:numId w:val="2"/>
        </w:numPr>
        <w:autoSpaceDE w:val="0"/>
        <w:autoSpaceDN w:val="0"/>
        <w:adjustRightInd w:val="0"/>
        <w:spacing w:line="312" w:lineRule="auto"/>
        <w:ind w:left="1134" w:hanging="425"/>
        <w:jc w:val="both"/>
        <w:rPr>
          <w:rFonts w:ascii="Arial" w:hAnsi="Arial" w:cs="Arial"/>
          <w:sz w:val="22"/>
          <w:szCs w:val="22"/>
        </w:rPr>
      </w:pPr>
      <w:r>
        <w:rPr>
          <w:rFonts w:ascii="Arial" w:hAnsi="Arial" w:cs="Arial"/>
          <w:sz w:val="22"/>
          <w:szCs w:val="22"/>
        </w:rPr>
        <w:t>Genehmigung des Eingriffs in Natur und Landschaft nach § 12 Abs. 6 Naturschutzausführungsgesetz (</w:t>
      </w:r>
      <w:proofErr w:type="spellStart"/>
      <w:r>
        <w:rPr>
          <w:rFonts w:ascii="Arial" w:hAnsi="Arial" w:cs="Arial"/>
          <w:sz w:val="22"/>
          <w:szCs w:val="22"/>
        </w:rPr>
        <w:t>NatSchAG</w:t>
      </w:r>
      <w:proofErr w:type="spellEnd"/>
      <w:r>
        <w:rPr>
          <w:rFonts w:ascii="Arial" w:hAnsi="Arial" w:cs="Arial"/>
          <w:sz w:val="22"/>
          <w:szCs w:val="22"/>
        </w:rPr>
        <w:t xml:space="preserve"> M-V)</w:t>
      </w:r>
    </w:p>
    <w:p>
      <w:pPr>
        <w:spacing w:line="312" w:lineRule="auto"/>
        <w:jc w:val="both"/>
        <w:rPr>
          <w:rFonts w:ascii="Arial" w:hAnsi="Arial" w:cs="Arial"/>
          <w:sz w:val="22"/>
          <w:szCs w:val="22"/>
        </w:rPr>
      </w:pPr>
    </w:p>
    <w:p>
      <w:pPr>
        <w:pStyle w:val="StandardWeb"/>
        <w:spacing w:before="0" w:beforeAutospacing="0" w:after="0" w:afterAutospacing="0" w:line="312" w:lineRule="auto"/>
        <w:ind w:left="708"/>
        <w:rPr>
          <w:rFonts w:ascii="Arial" w:hAnsi="Arial" w:cs="Arial"/>
          <w:sz w:val="22"/>
          <w:szCs w:val="22"/>
        </w:rPr>
      </w:pPr>
      <w:r>
        <w:rPr>
          <w:rFonts w:ascii="Arial" w:hAnsi="Arial" w:cs="Arial"/>
          <w:sz w:val="22"/>
          <w:szCs w:val="22"/>
        </w:rPr>
        <w:t>Die Zusammenfassende Darstellung (§ 24 UVPG) v. 29.05.2024 und die begründete Bewertung der Umweltauswirkungen (§ 25 UVPG) v. 10.06.2024, erstellt im Rahmen des Genehmigungsverfahrens für die Errichtung und den Betrieb der Windenergieanlagen zur Prüfung der Umweltverträglichkeit für das Vorhaben, sind Bestandteil dieser Genehmigung (Anlagen 1 und 2).</w:t>
      </w:r>
    </w:p>
    <w:p>
      <w:pPr>
        <w:pStyle w:val="StandardWeb"/>
        <w:spacing w:before="0" w:beforeAutospacing="0" w:after="0" w:afterAutospacing="0" w:line="312" w:lineRule="auto"/>
        <w:rPr>
          <w:rFonts w:ascii="Arial" w:hAnsi="Arial" w:cs="Arial"/>
          <w:sz w:val="22"/>
          <w:szCs w:val="22"/>
        </w:rPr>
      </w:pPr>
    </w:p>
    <w:p>
      <w:pPr>
        <w:pStyle w:val="StandardWeb"/>
        <w:spacing w:before="0" w:beforeAutospacing="0" w:after="0" w:afterAutospacing="0" w:line="312" w:lineRule="auto"/>
        <w:rPr>
          <w:rFonts w:ascii="Arial" w:hAnsi="Arial" w:cs="Arial"/>
          <w:sz w:val="22"/>
          <w:szCs w:val="22"/>
        </w:rPr>
      </w:pPr>
      <w:r>
        <w:rPr>
          <w:rFonts w:ascii="Arial" w:hAnsi="Arial" w:cs="Arial"/>
          <w:sz w:val="22"/>
          <w:szCs w:val="22"/>
        </w:rPr>
        <w:t xml:space="preserve">Die Genehmigung wurde unter Bedingungen und Auflagen sowie nach Maßgabe der Antragsunterlagen und der sonstigen Unterlagen erteilt. Diese Unterlagen sind Bestandteil des </w:t>
      </w:r>
      <w:r>
        <w:rPr>
          <w:rFonts w:ascii="Arial" w:hAnsi="Arial" w:cs="Arial"/>
          <w:sz w:val="22"/>
          <w:szCs w:val="22"/>
        </w:rPr>
        <w:lastRenderedPageBreak/>
        <w:t>Genehmigungsbescheides und maßgebend für dessen Ausführung, soweit nicht durch die Nebenbestimmungen eine andere Regelung getroffen wird.</w:t>
      </w:r>
    </w:p>
    <w:p>
      <w:pPr>
        <w:pStyle w:val="StandardWeb"/>
        <w:spacing w:before="0" w:beforeAutospacing="0" w:after="0" w:afterAutospacing="0" w:line="312" w:lineRule="auto"/>
        <w:rPr>
          <w:rFonts w:ascii="Arial" w:hAnsi="Arial" w:cs="Arial"/>
          <w:sz w:val="22"/>
          <w:szCs w:val="22"/>
        </w:rPr>
      </w:pPr>
    </w:p>
    <w:p>
      <w:pPr>
        <w:pStyle w:val="StandardWeb"/>
        <w:spacing w:before="0" w:beforeAutospacing="0" w:after="0" w:afterAutospacing="0" w:line="312" w:lineRule="auto"/>
        <w:rPr>
          <w:rFonts w:ascii="Arial" w:hAnsi="Arial" w:cs="Arial"/>
          <w:sz w:val="22"/>
          <w:szCs w:val="22"/>
        </w:rPr>
      </w:pPr>
      <w:r>
        <w:rPr>
          <w:rFonts w:ascii="Arial" w:hAnsi="Arial" w:cs="Arial"/>
          <w:sz w:val="22"/>
          <w:szCs w:val="22"/>
        </w:rPr>
        <w:t>Die Kosten des Genehmigungsverfahrens trägt die Antragstellerin.</w:t>
      </w:r>
    </w:p>
    <w:p>
      <w:pPr>
        <w:pStyle w:val="StandardWeb"/>
        <w:spacing w:before="0" w:beforeAutospacing="0" w:after="0" w:afterAutospacing="0" w:line="312" w:lineRule="auto"/>
        <w:rPr>
          <w:rFonts w:ascii="Arial" w:hAnsi="Arial"/>
          <w:color w:val="000000"/>
          <w:sz w:val="22"/>
          <w:szCs w:val="22"/>
          <w:u w:val="single"/>
        </w:rPr>
      </w:pPr>
      <w:r>
        <w:rPr>
          <w:rFonts w:ascii="Arial" w:hAnsi="Arial"/>
          <w:color w:val="000000"/>
          <w:sz w:val="22"/>
          <w:szCs w:val="22"/>
        </w:rPr>
        <w:br/>
      </w:r>
      <w:r>
        <w:rPr>
          <w:rFonts w:ascii="Arial" w:hAnsi="Arial"/>
          <w:color w:val="000000"/>
          <w:sz w:val="22"/>
          <w:szCs w:val="22"/>
          <w:u w:val="single"/>
        </w:rPr>
        <w:t>Der Bescheid enthält folgende Rechtsbehelfsbelehrung:</w:t>
      </w:r>
    </w:p>
    <w:p>
      <w:pPr>
        <w:widowControl w:val="0"/>
        <w:autoSpaceDE w:val="0"/>
        <w:autoSpaceDN w:val="0"/>
        <w:adjustRightInd w:val="0"/>
        <w:spacing w:line="312" w:lineRule="auto"/>
        <w:ind w:hanging="11"/>
        <w:rPr>
          <w:rFonts w:ascii="Arial" w:hAnsi="Arial" w:cs="Arial"/>
          <w:sz w:val="22"/>
          <w:szCs w:val="22"/>
          <w:lang w:val="de"/>
        </w:rPr>
      </w:pPr>
      <w:r>
        <w:rPr>
          <w:rFonts w:ascii="Arial" w:hAnsi="Arial" w:cs="Arial"/>
          <w:sz w:val="22"/>
          <w:szCs w:val="22"/>
          <w:lang w:val="de"/>
        </w:rPr>
        <w:t>Gegen diesen Bescheid kann innerhalb eines Monats nach Bekanntgabe Widerspruch</w:t>
      </w:r>
    </w:p>
    <w:p>
      <w:pPr>
        <w:widowControl w:val="0"/>
        <w:autoSpaceDE w:val="0"/>
        <w:autoSpaceDN w:val="0"/>
        <w:adjustRightInd w:val="0"/>
        <w:spacing w:line="312" w:lineRule="auto"/>
        <w:ind w:hanging="11"/>
        <w:rPr>
          <w:rFonts w:ascii="Arial" w:hAnsi="Arial" w:cs="Arial"/>
          <w:sz w:val="22"/>
          <w:szCs w:val="22"/>
          <w:lang w:val="de"/>
        </w:rPr>
      </w:pPr>
      <w:r>
        <w:rPr>
          <w:rFonts w:ascii="Arial" w:hAnsi="Arial" w:cs="Arial"/>
          <w:sz w:val="22"/>
          <w:szCs w:val="22"/>
          <w:lang w:val="de"/>
        </w:rPr>
        <w:t>beim Staatlichen Amt für Landwirtschaft und Umwelt Vorpommern, 18439 Stralsund erhoben</w:t>
      </w:r>
    </w:p>
    <w:p>
      <w:pPr>
        <w:widowControl w:val="0"/>
        <w:autoSpaceDE w:val="0"/>
        <w:autoSpaceDN w:val="0"/>
        <w:adjustRightInd w:val="0"/>
        <w:spacing w:line="312" w:lineRule="auto"/>
        <w:ind w:hanging="11"/>
        <w:rPr>
          <w:rFonts w:ascii="Arial" w:hAnsi="Arial" w:cs="Arial"/>
          <w:sz w:val="22"/>
          <w:szCs w:val="22"/>
          <w:lang w:val="de"/>
        </w:rPr>
      </w:pPr>
      <w:r>
        <w:rPr>
          <w:rFonts w:ascii="Arial" w:hAnsi="Arial" w:cs="Arial"/>
          <w:sz w:val="22"/>
          <w:szCs w:val="22"/>
          <w:lang w:val="de"/>
        </w:rPr>
        <w:t>werden. Der Widerspruch eines Dritten ist binnen eines Monats nach seiner Erhebung</w:t>
      </w:r>
    </w:p>
    <w:p>
      <w:pPr>
        <w:widowControl w:val="0"/>
        <w:autoSpaceDE w:val="0"/>
        <w:autoSpaceDN w:val="0"/>
        <w:adjustRightInd w:val="0"/>
        <w:spacing w:line="312" w:lineRule="auto"/>
        <w:ind w:hanging="11"/>
        <w:rPr>
          <w:rFonts w:ascii="Arial" w:hAnsi="Arial" w:cs="Arial"/>
          <w:sz w:val="22"/>
          <w:szCs w:val="22"/>
          <w:lang w:val="de"/>
        </w:rPr>
      </w:pPr>
      <w:r>
        <w:rPr>
          <w:rFonts w:ascii="Arial" w:hAnsi="Arial" w:cs="Arial"/>
          <w:sz w:val="22"/>
          <w:szCs w:val="22"/>
          <w:lang w:val="de"/>
        </w:rPr>
        <w:t>zu begründen.</w:t>
      </w:r>
    </w:p>
    <w:p>
      <w:pPr>
        <w:widowControl w:val="0"/>
        <w:autoSpaceDE w:val="0"/>
        <w:autoSpaceDN w:val="0"/>
        <w:adjustRightInd w:val="0"/>
        <w:spacing w:line="312" w:lineRule="auto"/>
        <w:ind w:hanging="11"/>
        <w:rPr>
          <w:rFonts w:ascii="Arial" w:hAnsi="Arial" w:cs="Arial"/>
          <w:sz w:val="22"/>
          <w:szCs w:val="22"/>
          <w:lang w:val="de"/>
        </w:rPr>
      </w:pPr>
    </w:p>
    <w:p>
      <w:pPr>
        <w:widowControl w:val="0"/>
        <w:autoSpaceDE w:val="0"/>
        <w:autoSpaceDN w:val="0"/>
        <w:adjustRightInd w:val="0"/>
        <w:spacing w:line="312" w:lineRule="auto"/>
        <w:ind w:hanging="11"/>
        <w:rPr>
          <w:rFonts w:ascii="Arial" w:hAnsi="Arial" w:cs="Arial"/>
          <w:sz w:val="22"/>
          <w:szCs w:val="22"/>
          <w:lang w:val="de"/>
        </w:rPr>
      </w:pPr>
      <w:r>
        <w:rPr>
          <w:rFonts w:ascii="Arial" w:hAnsi="Arial" w:cs="Arial"/>
          <w:sz w:val="22"/>
          <w:szCs w:val="22"/>
          <w:lang w:val="de"/>
        </w:rPr>
        <w:t>Durch den Adressaten dieses Bescheides kann innerhalb eines Monats nach Bekanntgabe durch den Antragsteller (Genehmigungsinhaber) ohne die Durchführung des Vorverfahrens nach § 68 Abs.1 S. 2 VwGO Klage beim Oberverwaltungsgericht Mecklenburg-Vorpommern, Domstraße 7, 17489 Greifswald, erhoben werden.</w:t>
      </w:r>
    </w:p>
    <w:p>
      <w:pPr>
        <w:widowControl w:val="0"/>
        <w:autoSpaceDE w:val="0"/>
        <w:autoSpaceDN w:val="0"/>
        <w:adjustRightInd w:val="0"/>
        <w:spacing w:line="312" w:lineRule="auto"/>
        <w:ind w:hanging="11"/>
        <w:rPr>
          <w:rFonts w:ascii="Arial" w:hAnsi="Arial" w:cs="Arial"/>
          <w:sz w:val="22"/>
          <w:szCs w:val="22"/>
          <w:lang w:val="de"/>
        </w:rPr>
      </w:pPr>
    </w:p>
    <w:p>
      <w:pPr>
        <w:widowControl w:val="0"/>
        <w:autoSpaceDE w:val="0"/>
        <w:autoSpaceDN w:val="0"/>
        <w:adjustRightInd w:val="0"/>
        <w:spacing w:line="312" w:lineRule="auto"/>
        <w:ind w:hanging="11"/>
        <w:rPr>
          <w:rFonts w:ascii="Arial" w:hAnsi="Arial" w:cs="Arial"/>
          <w:sz w:val="22"/>
          <w:szCs w:val="22"/>
          <w:lang w:val="de"/>
        </w:rPr>
      </w:pPr>
      <w:r>
        <w:rPr>
          <w:rFonts w:ascii="Arial" w:hAnsi="Arial" w:cs="Arial"/>
          <w:sz w:val="22"/>
          <w:szCs w:val="22"/>
          <w:lang w:val="de"/>
        </w:rPr>
        <w:t>Ein Antrag eines Dritten auf Anordnung der aufschiebenden Wirkung des Widerspruchs</w:t>
      </w:r>
    </w:p>
    <w:p>
      <w:pPr>
        <w:widowControl w:val="0"/>
        <w:autoSpaceDE w:val="0"/>
        <w:autoSpaceDN w:val="0"/>
        <w:adjustRightInd w:val="0"/>
        <w:spacing w:line="312" w:lineRule="auto"/>
        <w:ind w:hanging="11"/>
        <w:rPr>
          <w:rFonts w:ascii="Arial" w:hAnsi="Arial" w:cs="Arial"/>
          <w:sz w:val="22"/>
          <w:szCs w:val="22"/>
          <w:lang w:val="de"/>
        </w:rPr>
      </w:pPr>
      <w:r>
        <w:rPr>
          <w:rFonts w:ascii="Arial" w:hAnsi="Arial" w:cs="Arial"/>
          <w:sz w:val="22"/>
          <w:szCs w:val="22"/>
          <w:lang w:val="de"/>
        </w:rPr>
        <w:t>oder der Anfechtungsklage nach § 80 Abs. 5 Satz 1 VwGO kann nur innerhalb eines</w:t>
      </w:r>
    </w:p>
    <w:p>
      <w:pPr>
        <w:pStyle w:val="StandardWeb"/>
        <w:spacing w:before="0" w:beforeAutospacing="0" w:after="0" w:afterAutospacing="0" w:line="312" w:lineRule="auto"/>
        <w:rPr>
          <w:rFonts w:ascii="Arial" w:hAnsi="Arial"/>
          <w:color w:val="000000"/>
          <w:sz w:val="22"/>
          <w:szCs w:val="22"/>
        </w:rPr>
      </w:pPr>
      <w:r>
        <w:rPr>
          <w:rFonts w:ascii="Arial" w:hAnsi="Arial" w:cs="Arial"/>
          <w:sz w:val="22"/>
          <w:szCs w:val="22"/>
          <w:lang w:val="de"/>
        </w:rPr>
        <w:t>Monats nach der Bekanntgabe der Zulassung gestellt und begründet werden.</w:t>
      </w:r>
    </w:p>
    <w:p>
      <w:pPr>
        <w:widowControl w:val="0"/>
        <w:autoSpaceDE w:val="0"/>
        <w:autoSpaceDN w:val="0"/>
        <w:adjustRightInd w:val="0"/>
        <w:spacing w:line="312" w:lineRule="auto"/>
        <w:ind w:hanging="11"/>
        <w:rPr>
          <w:rFonts w:ascii="Arial" w:hAnsi="Arial" w:cs="Arial"/>
          <w:sz w:val="22"/>
          <w:szCs w:val="22"/>
          <w:lang w:val="de"/>
        </w:rPr>
      </w:pPr>
    </w:p>
    <w:p>
      <w:pPr>
        <w:widowControl w:val="0"/>
        <w:autoSpaceDE w:val="0"/>
        <w:autoSpaceDN w:val="0"/>
        <w:adjustRightInd w:val="0"/>
        <w:spacing w:line="312" w:lineRule="auto"/>
        <w:ind w:hanging="11"/>
        <w:rPr>
          <w:rFonts w:ascii="Arial" w:hAnsi="Arial" w:cs="Arial"/>
          <w:color w:val="FF0000"/>
          <w:sz w:val="22"/>
          <w:szCs w:val="22"/>
          <w:lang w:val="de"/>
        </w:rPr>
      </w:pPr>
      <w:r>
        <w:rPr>
          <w:rFonts w:ascii="Arial" w:hAnsi="Arial" w:cs="Arial"/>
          <w:sz w:val="22"/>
          <w:szCs w:val="22"/>
          <w:lang w:val="de"/>
        </w:rPr>
        <w:t>Die Einsicht des gesamten Genehmigungsbescheides (inkl. Begründung) kann über die Internetseite des Staatlichen Amts für Landwirtschaft und Umwelt Vorpommern, https://www.stalu-mv.de/vp/Service/Presse_Bekanntmachungen/, in der Zeit vom 29.07.2025 bis 11.08.2025, wahrgenommen werden (Auslegung). Auf Verlangen eines Beteiligten wird ihm eine leicht zu erreichende Zugangsmöglichkeit zur Verfügung gestellt.</w:t>
      </w:r>
    </w:p>
    <w:p>
      <w:pPr>
        <w:spacing w:line="312" w:lineRule="auto"/>
        <w:rPr>
          <w:rFonts w:ascii="Arial" w:hAnsi="Arial" w:cs="Arial"/>
          <w:color w:val="FF0000"/>
          <w:sz w:val="22"/>
          <w:szCs w:val="22"/>
        </w:rPr>
      </w:pPr>
    </w:p>
    <w:p>
      <w:pPr>
        <w:spacing w:line="312" w:lineRule="auto"/>
        <w:rPr>
          <w:rFonts w:ascii="Arial" w:hAnsi="Arial" w:cs="Arial"/>
          <w:sz w:val="22"/>
          <w:szCs w:val="22"/>
        </w:rPr>
      </w:pPr>
      <w:r>
        <w:rPr>
          <w:rFonts w:ascii="Arial" w:hAnsi="Arial" w:cs="Arial"/>
          <w:sz w:val="22"/>
          <w:szCs w:val="22"/>
        </w:rPr>
        <w:t>Darüber hinaus wird eine Ausfertigung des gesamten Genehmigungsbescheides (inkl. Begründung) gem. § 21a Abs. 2 Satz 4 9. BImSchV ab dem 29.07.2025 im zentralen Internetportal des Landes Mecklenburg-Vorpommern (UVP-Portal) unter http://www.uvp-verbund.de/mv veröffentlicht.</w:t>
      </w:r>
    </w:p>
    <w:p>
      <w:pPr>
        <w:spacing w:line="312" w:lineRule="auto"/>
        <w:rPr>
          <w:rFonts w:ascii="Arial" w:hAnsi="Arial" w:cs="Arial"/>
          <w:sz w:val="22"/>
          <w:szCs w:val="22"/>
        </w:rPr>
      </w:pPr>
    </w:p>
    <w:p>
      <w:pPr>
        <w:spacing w:line="312" w:lineRule="auto"/>
        <w:rPr>
          <w:rFonts w:ascii="Arial" w:hAnsi="Arial" w:cs="Arial"/>
          <w:sz w:val="22"/>
          <w:szCs w:val="22"/>
        </w:rPr>
      </w:pPr>
      <w:r>
        <w:rPr>
          <w:rFonts w:ascii="Arial" w:hAnsi="Arial" w:cs="Arial"/>
          <w:sz w:val="22"/>
          <w:szCs w:val="22"/>
        </w:rPr>
        <w:t>Gemäß § 10 Absatz 8 Satz 8 BImSchG gilt der Bescheid mit dem Ende der Auslegungsfrist auch gegenüber Dritten, die keine Einwendungen erhoben haben, als zugestellt.</w:t>
      </w:r>
    </w:p>
    <w:p>
      <w:pPr>
        <w:spacing w:line="312" w:lineRule="auto"/>
        <w:rPr>
          <w:rFonts w:ascii="Arial" w:hAnsi="Arial" w:cs="Arial"/>
          <w:sz w:val="22"/>
          <w:szCs w:val="22"/>
        </w:rPr>
      </w:pPr>
    </w:p>
    <w:p>
      <w:pPr>
        <w:spacing w:line="312" w:lineRule="auto"/>
        <w:rPr>
          <w:rFonts w:ascii="Arial" w:hAnsi="Arial" w:cs="Arial"/>
          <w:sz w:val="22"/>
          <w:szCs w:val="22"/>
        </w:rPr>
      </w:pPr>
      <w:r>
        <w:rPr>
          <w:rFonts w:ascii="Arial" w:hAnsi="Arial" w:cs="Arial"/>
          <w:sz w:val="22"/>
          <w:szCs w:val="22"/>
        </w:rPr>
        <w:t xml:space="preserve">Der Bescheid und seine Begründung können bis zum Ablauf der Widerspruchsfrist von den Personen, die Einwendungen erhoben haben, schriftlich beim Staatlichen Amt für Landwirtschaft und Umwelt Vorpommern, </w:t>
      </w:r>
      <w:proofErr w:type="spellStart"/>
      <w:r>
        <w:rPr>
          <w:rFonts w:ascii="Arial" w:hAnsi="Arial" w:cs="Arial"/>
          <w:sz w:val="22"/>
          <w:szCs w:val="22"/>
        </w:rPr>
        <w:t>Badenstraße</w:t>
      </w:r>
      <w:proofErr w:type="spellEnd"/>
      <w:r>
        <w:rPr>
          <w:rFonts w:ascii="Arial" w:hAnsi="Arial" w:cs="Arial"/>
          <w:sz w:val="22"/>
          <w:szCs w:val="22"/>
        </w:rPr>
        <w:t xml:space="preserve"> 18, 18439 Stralsund oder elektronisch unter der E-Mail-Adresse poststelle@staluvp.mv-regierung.de bei vollständiger Namens- und Adressangabe angefordert werden.</w:t>
      </w:r>
    </w:p>
    <w:sectPr>
      <w:footerReference w:type="even" r:id="rId7"/>
      <w:footerReference w:type="default" r:id="rId8"/>
      <w:type w:val="continuous"/>
      <w:pgSz w:w="11906" w:h="16838" w:code="9"/>
      <w:pgMar w:top="851" w:right="1134" w:bottom="1015" w:left="1418" w:header="72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009"/>
    <w:multiLevelType w:val="hybridMultilevel"/>
    <w:tmpl w:val="06D6BAC4"/>
    <w:lvl w:ilvl="0" w:tplc="04070001">
      <w:start w:val="1"/>
      <w:numFmt w:val="bullet"/>
      <w:lvlText w:val=""/>
      <w:lvlJc w:val="left"/>
      <w:pPr>
        <w:ind w:left="4834" w:hanging="360"/>
      </w:pPr>
      <w:rPr>
        <w:rFonts w:ascii="Symbol" w:hAnsi="Symbol" w:hint="default"/>
      </w:rPr>
    </w:lvl>
    <w:lvl w:ilvl="1" w:tplc="04070003">
      <w:start w:val="1"/>
      <w:numFmt w:val="bullet"/>
      <w:lvlText w:val="o"/>
      <w:lvlJc w:val="left"/>
      <w:pPr>
        <w:ind w:left="5554" w:hanging="360"/>
      </w:pPr>
      <w:rPr>
        <w:rFonts w:ascii="Courier New" w:hAnsi="Courier New" w:cs="Courier New" w:hint="default"/>
      </w:rPr>
    </w:lvl>
    <w:lvl w:ilvl="2" w:tplc="04070005">
      <w:start w:val="1"/>
      <w:numFmt w:val="bullet"/>
      <w:lvlText w:val=""/>
      <w:lvlJc w:val="left"/>
      <w:pPr>
        <w:ind w:left="6274" w:hanging="360"/>
      </w:pPr>
      <w:rPr>
        <w:rFonts w:ascii="Wingdings" w:hAnsi="Wingdings" w:hint="default"/>
      </w:rPr>
    </w:lvl>
    <w:lvl w:ilvl="3" w:tplc="04070001" w:tentative="1">
      <w:start w:val="1"/>
      <w:numFmt w:val="bullet"/>
      <w:lvlText w:val=""/>
      <w:lvlJc w:val="left"/>
      <w:pPr>
        <w:ind w:left="6994" w:hanging="360"/>
      </w:pPr>
      <w:rPr>
        <w:rFonts w:ascii="Symbol" w:hAnsi="Symbol" w:hint="default"/>
      </w:rPr>
    </w:lvl>
    <w:lvl w:ilvl="4" w:tplc="04070003" w:tentative="1">
      <w:start w:val="1"/>
      <w:numFmt w:val="bullet"/>
      <w:lvlText w:val="o"/>
      <w:lvlJc w:val="left"/>
      <w:pPr>
        <w:ind w:left="7714" w:hanging="360"/>
      </w:pPr>
      <w:rPr>
        <w:rFonts w:ascii="Courier New" w:hAnsi="Courier New" w:cs="Courier New" w:hint="default"/>
      </w:rPr>
    </w:lvl>
    <w:lvl w:ilvl="5" w:tplc="04070005" w:tentative="1">
      <w:start w:val="1"/>
      <w:numFmt w:val="bullet"/>
      <w:lvlText w:val=""/>
      <w:lvlJc w:val="left"/>
      <w:pPr>
        <w:ind w:left="8434" w:hanging="360"/>
      </w:pPr>
      <w:rPr>
        <w:rFonts w:ascii="Wingdings" w:hAnsi="Wingdings" w:hint="default"/>
      </w:rPr>
    </w:lvl>
    <w:lvl w:ilvl="6" w:tplc="04070001" w:tentative="1">
      <w:start w:val="1"/>
      <w:numFmt w:val="bullet"/>
      <w:lvlText w:val=""/>
      <w:lvlJc w:val="left"/>
      <w:pPr>
        <w:ind w:left="9154" w:hanging="360"/>
      </w:pPr>
      <w:rPr>
        <w:rFonts w:ascii="Symbol" w:hAnsi="Symbol" w:hint="default"/>
      </w:rPr>
    </w:lvl>
    <w:lvl w:ilvl="7" w:tplc="04070003" w:tentative="1">
      <w:start w:val="1"/>
      <w:numFmt w:val="bullet"/>
      <w:lvlText w:val="o"/>
      <w:lvlJc w:val="left"/>
      <w:pPr>
        <w:ind w:left="9874" w:hanging="360"/>
      </w:pPr>
      <w:rPr>
        <w:rFonts w:ascii="Courier New" w:hAnsi="Courier New" w:cs="Courier New" w:hint="default"/>
      </w:rPr>
    </w:lvl>
    <w:lvl w:ilvl="8" w:tplc="04070005" w:tentative="1">
      <w:start w:val="1"/>
      <w:numFmt w:val="bullet"/>
      <w:lvlText w:val=""/>
      <w:lvlJc w:val="left"/>
      <w:pPr>
        <w:ind w:left="10594" w:hanging="360"/>
      </w:pPr>
      <w:rPr>
        <w:rFonts w:ascii="Wingdings" w:hAnsi="Wingdings" w:hint="default"/>
      </w:rPr>
    </w:lvl>
  </w:abstractNum>
  <w:abstractNum w:abstractNumId="1" w15:restartNumberingAfterBreak="0">
    <w:nsid w:val="47B478DA"/>
    <w:multiLevelType w:val="multilevel"/>
    <w:tmpl w:val="3A702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3F86A7-87DB-421C-AA35-1A30AC72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right="1984"/>
      <w:outlineLvl w:val="0"/>
    </w:pPr>
    <w:rPr>
      <w:rFonts w:ascii="Arial" w:hAnsi="Arial"/>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2">
    <w:name w:val="Body Text 2"/>
    <w:basedOn w:val="Standard"/>
    <w:pPr>
      <w:spacing w:line="360" w:lineRule="auto"/>
    </w:pPr>
    <w:rPr>
      <w:rFonts w:ascii="Arial" w:hAnsi="Arial" w:cs="Arial"/>
      <w:snapToGrid w:val="0"/>
      <w:sz w:val="22"/>
    </w:rPr>
  </w:style>
  <w:style w:type="paragraph" w:styleId="StandardWeb">
    <w:name w:val="Normal (Web)"/>
    <w:basedOn w:val="Standard"/>
    <w:uiPriority w:val="99"/>
    <w:unhideWhenUsed/>
    <w:pPr>
      <w:spacing w:before="100" w:beforeAutospacing="1" w:after="100" w:afterAutospacing="1"/>
    </w:pPr>
    <w:rPr>
      <w:sz w:val="24"/>
      <w:szCs w:val="24"/>
    </w:rPr>
  </w:style>
  <w:style w:type="table" w:styleId="Tabellenraster">
    <w:name w:val="Table Grid"/>
    <w:basedOn w:val="NormaleTabell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nhideWhenUsed/>
    <w:rPr>
      <w:color w:val="0000FF" w:themeColor="hyperlink"/>
      <w:u w:val="single"/>
    </w:rPr>
  </w:style>
  <w:style w:type="paragraph" w:styleId="Sprechblasentext">
    <w:name w:val="Balloon Text"/>
    <w:basedOn w:val="Standard"/>
    <w:link w:val="SprechblasentextZchn"/>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Endnotentext">
    <w:name w:val="endnote text"/>
    <w:basedOn w:val="Standard"/>
    <w:link w:val="EndnotentextZchn"/>
    <w:uiPriority w:val="99"/>
    <w:unhideWhenUsed/>
    <w:rPr>
      <w:rFonts w:asciiTheme="minorHAnsi" w:eastAsiaTheme="minorHAnsi" w:hAnsiTheme="minorHAnsi" w:cstheme="minorBidi"/>
      <w:lang w:eastAsia="en-US"/>
    </w:rPr>
  </w:style>
  <w:style w:type="character" w:customStyle="1" w:styleId="EndnotentextZchn">
    <w:name w:val="Endnotentext Zchn"/>
    <w:basedOn w:val="Absatz-Standardschriftart"/>
    <w:link w:val="Endnotentext"/>
    <w:uiPriority w:val="99"/>
    <w:rPr>
      <w:rFonts w:asciiTheme="minorHAnsi" w:eastAsiaTheme="minorHAnsi" w:hAnsiTheme="minorHAnsi" w:cstheme="minorBidi"/>
      <w:lang w:eastAsia="en-US"/>
    </w:rPr>
  </w:style>
  <w:style w:type="character" w:styleId="Endnotenzeichen">
    <w:name w:val="endnote reference"/>
    <w:basedOn w:val="Absatz-Standardschriftart"/>
    <w:semiHidden/>
    <w:unhideWhenUsed/>
    <w:rPr>
      <w:vertAlign w:val="superscript"/>
    </w:r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8060">
      <w:bodyDiv w:val="1"/>
      <w:marLeft w:val="0"/>
      <w:marRight w:val="0"/>
      <w:marTop w:val="0"/>
      <w:marBottom w:val="0"/>
      <w:divBdr>
        <w:top w:val="none" w:sz="0" w:space="0" w:color="auto"/>
        <w:left w:val="none" w:sz="0" w:space="0" w:color="auto"/>
        <w:bottom w:val="none" w:sz="0" w:space="0" w:color="auto"/>
        <w:right w:val="none" w:sz="0" w:space="0" w:color="auto"/>
      </w:divBdr>
      <w:divsChild>
        <w:div w:id="1002704193">
          <w:marLeft w:val="0"/>
          <w:marRight w:val="0"/>
          <w:marTop w:val="0"/>
          <w:marBottom w:val="0"/>
          <w:divBdr>
            <w:top w:val="none" w:sz="0" w:space="0" w:color="auto"/>
            <w:left w:val="none" w:sz="0" w:space="0" w:color="auto"/>
            <w:bottom w:val="none" w:sz="0" w:space="0" w:color="auto"/>
            <w:right w:val="none" w:sz="0" w:space="0" w:color="auto"/>
          </w:divBdr>
          <w:divsChild>
            <w:div w:id="1125003649">
              <w:marLeft w:val="0"/>
              <w:marRight w:val="0"/>
              <w:marTop w:val="0"/>
              <w:marBottom w:val="0"/>
              <w:divBdr>
                <w:top w:val="none" w:sz="0" w:space="0" w:color="auto"/>
                <w:left w:val="none" w:sz="0" w:space="0" w:color="auto"/>
                <w:bottom w:val="none" w:sz="0" w:space="0" w:color="auto"/>
                <w:right w:val="none" w:sz="0" w:space="0" w:color="auto"/>
              </w:divBdr>
              <w:divsChild>
                <w:div w:id="660157796">
                  <w:marLeft w:val="0"/>
                  <w:marRight w:val="0"/>
                  <w:marTop w:val="0"/>
                  <w:marBottom w:val="0"/>
                  <w:divBdr>
                    <w:top w:val="none" w:sz="0" w:space="0" w:color="auto"/>
                    <w:left w:val="none" w:sz="0" w:space="0" w:color="auto"/>
                    <w:bottom w:val="none" w:sz="0" w:space="0" w:color="auto"/>
                    <w:right w:val="none" w:sz="0" w:space="0" w:color="auto"/>
                  </w:divBdr>
                  <w:divsChild>
                    <w:div w:id="299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61770">
      <w:bodyDiv w:val="1"/>
      <w:marLeft w:val="0"/>
      <w:marRight w:val="0"/>
      <w:marTop w:val="0"/>
      <w:marBottom w:val="0"/>
      <w:divBdr>
        <w:top w:val="none" w:sz="0" w:space="0" w:color="auto"/>
        <w:left w:val="none" w:sz="0" w:space="0" w:color="auto"/>
        <w:bottom w:val="none" w:sz="0" w:space="0" w:color="auto"/>
        <w:right w:val="none" w:sz="0" w:space="0" w:color="auto"/>
      </w:divBdr>
      <w:divsChild>
        <w:div w:id="756559049">
          <w:marLeft w:val="0"/>
          <w:marRight w:val="0"/>
          <w:marTop w:val="0"/>
          <w:marBottom w:val="0"/>
          <w:divBdr>
            <w:top w:val="none" w:sz="0" w:space="0" w:color="auto"/>
            <w:left w:val="none" w:sz="0" w:space="0" w:color="auto"/>
            <w:bottom w:val="none" w:sz="0" w:space="0" w:color="auto"/>
            <w:right w:val="none" w:sz="0" w:space="0" w:color="auto"/>
          </w:divBdr>
          <w:divsChild>
            <w:div w:id="160201955">
              <w:marLeft w:val="0"/>
              <w:marRight w:val="0"/>
              <w:marTop w:val="0"/>
              <w:marBottom w:val="0"/>
              <w:divBdr>
                <w:top w:val="none" w:sz="0" w:space="0" w:color="auto"/>
                <w:left w:val="none" w:sz="0" w:space="0" w:color="auto"/>
                <w:bottom w:val="none" w:sz="0" w:space="0" w:color="auto"/>
                <w:right w:val="none" w:sz="0" w:space="0" w:color="auto"/>
              </w:divBdr>
              <w:divsChild>
                <w:div w:id="1092582355">
                  <w:marLeft w:val="0"/>
                  <w:marRight w:val="0"/>
                  <w:marTop w:val="0"/>
                  <w:marBottom w:val="0"/>
                  <w:divBdr>
                    <w:top w:val="none" w:sz="0" w:space="0" w:color="auto"/>
                    <w:left w:val="none" w:sz="0" w:space="0" w:color="auto"/>
                    <w:bottom w:val="none" w:sz="0" w:space="0" w:color="auto"/>
                    <w:right w:val="none" w:sz="0" w:space="0" w:color="auto"/>
                  </w:divBdr>
                  <w:divsChild>
                    <w:div w:id="13264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67847">
      <w:bodyDiv w:val="1"/>
      <w:marLeft w:val="0"/>
      <w:marRight w:val="0"/>
      <w:marTop w:val="0"/>
      <w:marBottom w:val="0"/>
      <w:divBdr>
        <w:top w:val="none" w:sz="0" w:space="0" w:color="auto"/>
        <w:left w:val="none" w:sz="0" w:space="0" w:color="auto"/>
        <w:bottom w:val="none" w:sz="0" w:space="0" w:color="auto"/>
        <w:right w:val="none" w:sz="0" w:space="0" w:color="auto"/>
      </w:divBdr>
      <w:divsChild>
        <w:div w:id="2111731986">
          <w:marLeft w:val="0"/>
          <w:marRight w:val="0"/>
          <w:marTop w:val="0"/>
          <w:marBottom w:val="0"/>
          <w:divBdr>
            <w:top w:val="none" w:sz="0" w:space="0" w:color="auto"/>
            <w:left w:val="none" w:sz="0" w:space="0" w:color="auto"/>
            <w:bottom w:val="none" w:sz="0" w:space="0" w:color="auto"/>
            <w:right w:val="none" w:sz="0" w:space="0" w:color="auto"/>
          </w:divBdr>
          <w:divsChild>
            <w:div w:id="1479298884">
              <w:marLeft w:val="0"/>
              <w:marRight w:val="0"/>
              <w:marTop w:val="0"/>
              <w:marBottom w:val="0"/>
              <w:divBdr>
                <w:top w:val="none" w:sz="0" w:space="0" w:color="auto"/>
                <w:left w:val="none" w:sz="0" w:space="0" w:color="auto"/>
                <w:bottom w:val="none" w:sz="0" w:space="0" w:color="auto"/>
                <w:right w:val="none" w:sz="0" w:space="0" w:color="auto"/>
              </w:divBdr>
              <w:divsChild>
                <w:div w:id="243073637">
                  <w:marLeft w:val="0"/>
                  <w:marRight w:val="0"/>
                  <w:marTop w:val="0"/>
                  <w:marBottom w:val="0"/>
                  <w:divBdr>
                    <w:top w:val="none" w:sz="0" w:space="0" w:color="auto"/>
                    <w:left w:val="none" w:sz="0" w:space="0" w:color="auto"/>
                    <w:bottom w:val="none" w:sz="0" w:space="0" w:color="auto"/>
                    <w:right w:val="none" w:sz="0" w:space="0" w:color="auto"/>
                  </w:divBdr>
                  <w:divsChild>
                    <w:div w:id="8052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5597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Bekanntmachung nach § 3a Satz 2, 2</vt:lpstr>
    </vt:vector>
  </TitlesOfParts>
  <Company>PRO DV</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nach § 3a Satz 2, 2</dc:title>
  <dc:creator>rochwitz</dc:creator>
  <cp:lastModifiedBy>StALU VP-54c (Frau Paul)</cp:lastModifiedBy>
  <cp:revision>17</cp:revision>
  <cp:lastPrinted>2025-07-15T05:39:00Z</cp:lastPrinted>
  <dcterms:created xsi:type="dcterms:W3CDTF">2024-03-12T07:45:00Z</dcterms:created>
  <dcterms:modified xsi:type="dcterms:W3CDTF">2025-07-15T05:42:00Z</dcterms:modified>
</cp:coreProperties>
</file>