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59" w:rsidRPr="006023DE" w:rsidRDefault="00834859" w:rsidP="00505674">
      <w:pPr>
        <w:spacing w:line="360" w:lineRule="auto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C7CDE" w:rsidRDefault="005C7CDE" w:rsidP="005C7CDE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505674" w:rsidRDefault="00505674" w:rsidP="00505674">
      <w:p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Hanse- und Universitätsstadt Rostock          </w:t>
      </w:r>
      <w:r w:rsidR="004D5823">
        <w:rPr>
          <w:rFonts w:ascii="Arial" w:hAnsi="Arial" w:cs="Arial"/>
          <w:sz w:val="21"/>
          <w:szCs w:val="21"/>
        </w:rPr>
        <w:t xml:space="preserve">                               </w:t>
      </w:r>
      <w:bookmarkStart w:id="0" w:name="_GoBack"/>
      <w:bookmarkEnd w:id="0"/>
    </w:p>
    <w:p w:rsidR="00505674" w:rsidRDefault="00505674" w:rsidP="005C7CDE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311338" w:rsidRPr="00C83D2C" w:rsidRDefault="00311338" w:rsidP="005C7CDE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5C7CDE" w:rsidRPr="00311338" w:rsidRDefault="00311338" w:rsidP="005C7CDE">
      <w:pPr>
        <w:spacing w:line="360" w:lineRule="auto"/>
        <w:jc w:val="left"/>
        <w:rPr>
          <w:rFonts w:ascii="Arial" w:hAnsi="Arial" w:cs="Arial"/>
          <w:b/>
          <w:sz w:val="21"/>
          <w:szCs w:val="21"/>
        </w:rPr>
      </w:pPr>
      <w:r w:rsidRPr="00311338">
        <w:rPr>
          <w:rFonts w:ascii="Arial" w:hAnsi="Arial" w:cs="Arial"/>
          <w:b/>
          <w:sz w:val="21"/>
          <w:szCs w:val="21"/>
        </w:rPr>
        <w:t>Bekanntmac</w:t>
      </w:r>
      <w:r>
        <w:rPr>
          <w:rFonts w:ascii="Arial" w:hAnsi="Arial" w:cs="Arial"/>
          <w:b/>
          <w:sz w:val="21"/>
          <w:szCs w:val="21"/>
        </w:rPr>
        <w:t>h</w:t>
      </w:r>
      <w:r w:rsidRPr="00311338">
        <w:rPr>
          <w:rFonts w:ascii="Arial" w:hAnsi="Arial" w:cs="Arial"/>
          <w:b/>
          <w:sz w:val="21"/>
          <w:szCs w:val="21"/>
        </w:rPr>
        <w:t>ung</w:t>
      </w:r>
    </w:p>
    <w:p w:rsidR="005C7CDE" w:rsidRPr="00C83D2C" w:rsidRDefault="005C7CDE" w:rsidP="005C7CDE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5C7CDE" w:rsidRDefault="00505674" w:rsidP="005C7CDE">
      <w:pPr>
        <w:spacing w:line="360" w:lineRule="auto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Planfeststellung für den Neubau der </w:t>
      </w:r>
      <w:proofErr w:type="spellStart"/>
      <w:r>
        <w:rPr>
          <w:rFonts w:ascii="Arial" w:hAnsi="Arial" w:cs="Arial"/>
          <w:b/>
          <w:sz w:val="21"/>
          <w:szCs w:val="21"/>
        </w:rPr>
        <w:t>Warnowbrücke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in der </w:t>
      </w:r>
      <w:r w:rsidR="00C538DC">
        <w:rPr>
          <w:rFonts w:ascii="Arial" w:hAnsi="Arial" w:cs="Arial"/>
          <w:b/>
          <w:sz w:val="21"/>
          <w:szCs w:val="21"/>
        </w:rPr>
        <w:t>Hanse- und Universitätsstadt Ros</w:t>
      </w:r>
      <w:r>
        <w:rPr>
          <w:rFonts w:ascii="Arial" w:hAnsi="Arial" w:cs="Arial"/>
          <w:b/>
          <w:sz w:val="21"/>
          <w:szCs w:val="21"/>
        </w:rPr>
        <w:t>tock</w:t>
      </w:r>
    </w:p>
    <w:p w:rsidR="00AB7C02" w:rsidRDefault="00AB7C02" w:rsidP="005C7CDE">
      <w:pPr>
        <w:spacing w:line="360" w:lineRule="auto"/>
        <w:jc w:val="left"/>
        <w:rPr>
          <w:rFonts w:ascii="Arial" w:hAnsi="Arial" w:cs="Arial"/>
          <w:b/>
          <w:sz w:val="21"/>
          <w:szCs w:val="21"/>
        </w:rPr>
      </w:pPr>
    </w:p>
    <w:p w:rsidR="00AB7C02" w:rsidRDefault="00505674" w:rsidP="005C7CDE">
      <w:p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Hanse un</w:t>
      </w:r>
      <w:r w:rsidR="00B67E4A">
        <w:rPr>
          <w:rFonts w:ascii="Arial" w:hAnsi="Arial" w:cs="Arial"/>
          <w:sz w:val="21"/>
          <w:szCs w:val="21"/>
        </w:rPr>
        <w:t xml:space="preserve">d Universitätsstadt Rostock, </w:t>
      </w:r>
      <w:r>
        <w:rPr>
          <w:rFonts w:ascii="Arial" w:hAnsi="Arial" w:cs="Arial"/>
          <w:sz w:val="21"/>
          <w:szCs w:val="21"/>
        </w:rPr>
        <w:t>vertreten durch</w:t>
      </w:r>
      <w:r w:rsidR="00B67E4A">
        <w:rPr>
          <w:rFonts w:ascii="Arial" w:hAnsi="Arial" w:cs="Arial"/>
          <w:sz w:val="21"/>
          <w:szCs w:val="21"/>
        </w:rPr>
        <w:t xml:space="preserve"> den Oberbürgermeister,</w:t>
      </w:r>
      <w:r>
        <w:rPr>
          <w:rFonts w:ascii="Arial" w:hAnsi="Arial" w:cs="Arial"/>
          <w:sz w:val="21"/>
          <w:szCs w:val="21"/>
        </w:rPr>
        <w:t xml:space="preserve"> Fachbereich BUGA,</w:t>
      </w:r>
      <w:r w:rsidR="00AB7C02">
        <w:rPr>
          <w:rFonts w:ascii="Arial" w:hAnsi="Arial" w:cs="Arial"/>
          <w:sz w:val="21"/>
          <w:szCs w:val="21"/>
        </w:rPr>
        <w:t xml:space="preserve"> hat für das o. g. Bauvorhaben die Durchführung des Planfeststellungsverfahrens beantragt.</w:t>
      </w:r>
    </w:p>
    <w:p w:rsidR="00AB7C02" w:rsidRDefault="00AB7C02" w:rsidP="005C7CDE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E91D21" w:rsidRDefault="00AB7C02" w:rsidP="00622F47">
      <w:p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Für da</w:t>
      </w:r>
      <w:r w:rsidR="00505674">
        <w:rPr>
          <w:rFonts w:ascii="Arial" w:hAnsi="Arial" w:cs="Arial"/>
          <w:sz w:val="21"/>
          <w:szCs w:val="21"/>
        </w:rPr>
        <w:t>s Vorhaben besteht eine</w:t>
      </w:r>
      <w:r>
        <w:rPr>
          <w:rFonts w:ascii="Arial" w:hAnsi="Arial" w:cs="Arial"/>
          <w:sz w:val="21"/>
          <w:szCs w:val="21"/>
        </w:rPr>
        <w:t xml:space="preserve"> Verpflichtung zur Durchführung einer Umweltverträglichkeitsprüfung gem. §</w:t>
      </w:r>
      <w:r w:rsidR="001007E1">
        <w:rPr>
          <w:rFonts w:ascii="Arial" w:hAnsi="Arial" w:cs="Arial"/>
          <w:sz w:val="21"/>
          <w:szCs w:val="21"/>
        </w:rPr>
        <w:t>§ 5 i.</w:t>
      </w:r>
      <w:r w:rsidR="00B67E4A">
        <w:rPr>
          <w:rFonts w:ascii="Arial" w:hAnsi="Arial" w:cs="Arial"/>
          <w:sz w:val="21"/>
          <w:szCs w:val="21"/>
        </w:rPr>
        <w:t xml:space="preserve"> </w:t>
      </w:r>
      <w:r w:rsidR="001007E1">
        <w:rPr>
          <w:rFonts w:ascii="Arial" w:hAnsi="Arial" w:cs="Arial"/>
          <w:sz w:val="21"/>
          <w:szCs w:val="21"/>
        </w:rPr>
        <w:t>V.</w:t>
      </w:r>
      <w:r w:rsidR="00B67E4A">
        <w:rPr>
          <w:rFonts w:ascii="Arial" w:hAnsi="Arial" w:cs="Arial"/>
          <w:sz w:val="21"/>
          <w:szCs w:val="21"/>
        </w:rPr>
        <w:t xml:space="preserve"> </w:t>
      </w:r>
      <w:r w:rsidR="001007E1">
        <w:rPr>
          <w:rFonts w:ascii="Arial" w:hAnsi="Arial" w:cs="Arial"/>
          <w:sz w:val="21"/>
          <w:szCs w:val="21"/>
        </w:rPr>
        <w:t>m. §</w:t>
      </w:r>
      <w:r>
        <w:rPr>
          <w:rFonts w:ascii="Arial" w:hAnsi="Arial" w:cs="Arial"/>
          <w:sz w:val="21"/>
          <w:szCs w:val="21"/>
        </w:rPr>
        <w:t xml:space="preserve"> </w:t>
      </w:r>
      <w:r w:rsidR="00E91D21">
        <w:rPr>
          <w:rFonts w:ascii="Arial" w:hAnsi="Arial" w:cs="Arial"/>
          <w:sz w:val="21"/>
          <w:szCs w:val="21"/>
        </w:rPr>
        <w:t xml:space="preserve">7 Abs. 3 </w:t>
      </w:r>
      <w:r>
        <w:rPr>
          <w:rFonts w:ascii="Arial" w:hAnsi="Arial" w:cs="Arial"/>
          <w:sz w:val="21"/>
          <w:szCs w:val="21"/>
        </w:rPr>
        <w:t xml:space="preserve">des </w:t>
      </w:r>
      <w:r w:rsidR="00E91D21">
        <w:rPr>
          <w:rFonts w:ascii="Arial" w:hAnsi="Arial" w:cs="Arial"/>
          <w:sz w:val="21"/>
          <w:szCs w:val="21"/>
        </w:rPr>
        <w:t>Landesg</w:t>
      </w:r>
      <w:r>
        <w:rPr>
          <w:rFonts w:ascii="Arial" w:hAnsi="Arial" w:cs="Arial"/>
          <w:sz w:val="21"/>
          <w:szCs w:val="21"/>
        </w:rPr>
        <w:t>esetzes über die Umweltverträglichkeitsprüfung (</w:t>
      </w:r>
      <w:r w:rsidR="00E91D21"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UVPG</w:t>
      </w:r>
      <w:r w:rsidR="00E91D21">
        <w:rPr>
          <w:rFonts w:ascii="Arial" w:hAnsi="Arial" w:cs="Arial"/>
          <w:sz w:val="21"/>
          <w:szCs w:val="21"/>
        </w:rPr>
        <w:t xml:space="preserve"> M-V</w:t>
      </w:r>
      <w:r>
        <w:rPr>
          <w:rFonts w:ascii="Arial" w:hAnsi="Arial" w:cs="Arial"/>
          <w:sz w:val="21"/>
          <w:szCs w:val="21"/>
        </w:rPr>
        <w:t xml:space="preserve">). </w:t>
      </w:r>
    </w:p>
    <w:p w:rsidR="00E91D21" w:rsidRDefault="00E91D21" w:rsidP="00622F47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646D16" w:rsidRDefault="00AB7C02" w:rsidP="00646D16">
      <w:p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Für das Bauvorhaben einschließlich der landschaftspflegerischen Ausgleichs- und Ersatzmaßnahmen werden </w:t>
      </w:r>
      <w:r w:rsidR="00622F47">
        <w:rPr>
          <w:rFonts w:ascii="Arial" w:hAnsi="Arial" w:cs="Arial"/>
          <w:sz w:val="21"/>
          <w:szCs w:val="21"/>
        </w:rPr>
        <w:t>Grundstücke in</w:t>
      </w:r>
      <w:r w:rsidR="00C538DC">
        <w:rPr>
          <w:rFonts w:ascii="Arial" w:hAnsi="Arial" w:cs="Arial"/>
          <w:sz w:val="21"/>
          <w:szCs w:val="21"/>
        </w:rPr>
        <w:t xml:space="preserve"> den Gemarkungen </w:t>
      </w:r>
      <w:proofErr w:type="spellStart"/>
      <w:r w:rsidR="00C538DC">
        <w:rPr>
          <w:rFonts w:ascii="Arial" w:hAnsi="Arial" w:cs="Arial"/>
          <w:sz w:val="21"/>
          <w:szCs w:val="21"/>
        </w:rPr>
        <w:t>Gehlsdorf</w:t>
      </w:r>
      <w:proofErr w:type="spellEnd"/>
      <w:r w:rsidR="00C538DC">
        <w:rPr>
          <w:rFonts w:ascii="Arial" w:hAnsi="Arial" w:cs="Arial"/>
          <w:sz w:val="21"/>
          <w:szCs w:val="21"/>
        </w:rPr>
        <w:t xml:space="preserve">, Flurbezirk II und Warnemünde </w:t>
      </w:r>
      <w:r w:rsidR="00622F47">
        <w:rPr>
          <w:rFonts w:ascii="Arial" w:hAnsi="Arial" w:cs="Arial"/>
          <w:sz w:val="21"/>
          <w:szCs w:val="21"/>
        </w:rPr>
        <w:t>beansprucht. Der Plan (Zeichnungen und Erläuterungen) liegt i</w:t>
      </w:r>
      <w:r w:rsidR="00945B77">
        <w:rPr>
          <w:rFonts w:ascii="Arial" w:hAnsi="Arial" w:cs="Arial"/>
          <w:sz w:val="21"/>
          <w:szCs w:val="21"/>
        </w:rPr>
        <w:t>n der Zeit vom 04.10.</w:t>
      </w:r>
      <w:r w:rsidR="00646D16">
        <w:rPr>
          <w:rFonts w:ascii="Arial" w:hAnsi="Arial" w:cs="Arial"/>
          <w:sz w:val="21"/>
          <w:szCs w:val="21"/>
        </w:rPr>
        <w:t>2021</w:t>
      </w:r>
      <w:r w:rsidR="00945B77">
        <w:rPr>
          <w:rFonts w:ascii="Arial" w:hAnsi="Arial" w:cs="Arial"/>
          <w:sz w:val="21"/>
          <w:szCs w:val="21"/>
        </w:rPr>
        <w:t xml:space="preserve"> bis 12.11</w:t>
      </w:r>
      <w:r w:rsidR="00900C44">
        <w:rPr>
          <w:rFonts w:ascii="Arial" w:hAnsi="Arial" w:cs="Arial"/>
          <w:sz w:val="21"/>
          <w:szCs w:val="21"/>
        </w:rPr>
        <w:t>.2021 im Haus des Bauens und der U</w:t>
      </w:r>
      <w:r w:rsidR="00A06877">
        <w:rPr>
          <w:rFonts w:ascii="Arial" w:hAnsi="Arial" w:cs="Arial"/>
          <w:sz w:val="21"/>
          <w:szCs w:val="21"/>
        </w:rPr>
        <w:t xml:space="preserve">mwelt, Holbeinplatz 14, </w:t>
      </w:r>
      <w:r w:rsidR="00646D16">
        <w:rPr>
          <w:rFonts w:ascii="Arial" w:hAnsi="Arial" w:cs="Arial"/>
          <w:sz w:val="21"/>
          <w:szCs w:val="21"/>
        </w:rPr>
        <w:t>18069 Rostock, Raum</w:t>
      </w:r>
      <w:r w:rsidR="00A06877">
        <w:rPr>
          <w:rFonts w:ascii="Arial" w:hAnsi="Arial" w:cs="Arial"/>
          <w:sz w:val="21"/>
          <w:szCs w:val="21"/>
        </w:rPr>
        <w:t xml:space="preserve"> </w:t>
      </w:r>
      <w:r w:rsidR="00646D16">
        <w:rPr>
          <w:rFonts w:ascii="Arial" w:hAnsi="Arial" w:cs="Arial"/>
          <w:sz w:val="21"/>
          <w:szCs w:val="21"/>
        </w:rPr>
        <w:t xml:space="preserve">E 32 </w:t>
      </w:r>
      <w:r w:rsidR="00622F47">
        <w:rPr>
          <w:rFonts w:ascii="Arial" w:hAnsi="Arial" w:cs="Arial"/>
          <w:sz w:val="21"/>
          <w:szCs w:val="21"/>
        </w:rPr>
        <w:t xml:space="preserve">während </w:t>
      </w:r>
      <w:r w:rsidR="00646D16">
        <w:rPr>
          <w:rFonts w:ascii="Arial" w:hAnsi="Arial" w:cs="Arial"/>
          <w:sz w:val="21"/>
          <w:szCs w:val="21"/>
        </w:rPr>
        <w:t>folgender Zeiten zur allgemeinen Einsichtnahme aus:</w:t>
      </w:r>
    </w:p>
    <w:p w:rsidR="004D5823" w:rsidRDefault="004D5823" w:rsidP="00646D16">
      <w:pPr>
        <w:rPr>
          <w:rFonts w:ascii="Arial" w:hAnsi="Arial" w:cs="Arial"/>
          <w:sz w:val="21"/>
          <w:szCs w:val="21"/>
        </w:rPr>
      </w:pPr>
    </w:p>
    <w:p w:rsidR="00646D16" w:rsidRPr="00646D16" w:rsidRDefault="00646D16" w:rsidP="00646D16">
      <w:pPr>
        <w:rPr>
          <w:rFonts w:ascii="Arial" w:hAnsi="Arial" w:cs="Arial"/>
          <w:sz w:val="21"/>
          <w:szCs w:val="21"/>
        </w:rPr>
      </w:pPr>
      <w:r w:rsidRPr="00646D16">
        <w:rPr>
          <w:rFonts w:ascii="Arial" w:hAnsi="Arial" w:cs="Arial"/>
          <w:sz w:val="21"/>
          <w:szCs w:val="21"/>
        </w:rPr>
        <w:t>Montag</w:t>
      </w:r>
      <w:r w:rsidRPr="00646D16">
        <w:rPr>
          <w:rFonts w:ascii="Arial" w:hAnsi="Arial" w:cs="Arial"/>
          <w:sz w:val="21"/>
          <w:szCs w:val="21"/>
        </w:rPr>
        <w:tab/>
      </w:r>
      <w:r w:rsidRPr="00646D16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646D16">
        <w:rPr>
          <w:rFonts w:ascii="Arial" w:hAnsi="Arial" w:cs="Arial"/>
          <w:sz w:val="21"/>
          <w:szCs w:val="21"/>
        </w:rPr>
        <w:t>von 08:30 Uhr bis 12:00 Uhr und von 12:30 Uhr bis 15:00 Uhr,</w:t>
      </w:r>
    </w:p>
    <w:p w:rsidR="00646D16" w:rsidRPr="00646D16" w:rsidRDefault="00646D16" w:rsidP="00646D16">
      <w:pPr>
        <w:rPr>
          <w:rFonts w:ascii="Arial" w:hAnsi="Arial" w:cs="Arial"/>
          <w:sz w:val="21"/>
          <w:szCs w:val="21"/>
        </w:rPr>
      </w:pPr>
      <w:r w:rsidRPr="00646D16">
        <w:rPr>
          <w:rFonts w:ascii="Arial" w:hAnsi="Arial" w:cs="Arial"/>
          <w:sz w:val="21"/>
          <w:szCs w:val="21"/>
        </w:rPr>
        <w:t>Dienstag</w:t>
      </w:r>
      <w:r w:rsidRPr="00646D16">
        <w:rPr>
          <w:rFonts w:ascii="Arial" w:hAnsi="Arial" w:cs="Arial"/>
          <w:sz w:val="21"/>
          <w:szCs w:val="21"/>
        </w:rPr>
        <w:tab/>
      </w:r>
      <w:r w:rsidRPr="00646D16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646D16">
        <w:rPr>
          <w:rFonts w:ascii="Arial" w:hAnsi="Arial" w:cs="Arial"/>
          <w:sz w:val="21"/>
          <w:szCs w:val="21"/>
        </w:rPr>
        <w:t>von 08:30 Uhr bis 12:00 Uhr und von 12:30 Uhr bis 16:00 Uhr,</w:t>
      </w:r>
    </w:p>
    <w:p w:rsidR="00646D16" w:rsidRPr="00646D16" w:rsidRDefault="00646D16" w:rsidP="00646D16">
      <w:pPr>
        <w:rPr>
          <w:rFonts w:ascii="Arial" w:hAnsi="Arial" w:cs="Arial"/>
          <w:sz w:val="21"/>
          <w:szCs w:val="21"/>
        </w:rPr>
      </w:pPr>
      <w:r w:rsidRPr="00646D16">
        <w:rPr>
          <w:rFonts w:ascii="Arial" w:hAnsi="Arial" w:cs="Arial"/>
          <w:sz w:val="21"/>
          <w:szCs w:val="21"/>
        </w:rPr>
        <w:t>Mittwoch</w:t>
      </w:r>
      <w:r w:rsidRPr="00646D16">
        <w:rPr>
          <w:rFonts w:ascii="Arial" w:hAnsi="Arial" w:cs="Arial"/>
          <w:sz w:val="21"/>
          <w:szCs w:val="21"/>
        </w:rPr>
        <w:tab/>
      </w:r>
      <w:r w:rsidRPr="00646D16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646D16">
        <w:rPr>
          <w:rFonts w:ascii="Arial" w:hAnsi="Arial" w:cs="Arial"/>
          <w:sz w:val="21"/>
          <w:szCs w:val="21"/>
        </w:rPr>
        <w:t>von 08:30 Uhr bis 12:00 Uhr und von 12:30 Uhr bis 15:00 Uhr,</w:t>
      </w:r>
    </w:p>
    <w:p w:rsidR="00646D16" w:rsidRPr="00646D16" w:rsidRDefault="00646D16" w:rsidP="00646D16">
      <w:pPr>
        <w:rPr>
          <w:rFonts w:ascii="Arial" w:hAnsi="Arial" w:cs="Arial"/>
          <w:sz w:val="21"/>
          <w:szCs w:val="21"/>
        </w:rPr>
      </w:pPr>
      <w:r w:rsidRPr="00646D16">
        <w:rPr>
          <w:rFonts w:ascii="Arial" w:hAnsi="Arial" w:cs="Arial"/>
          <w:sz w:val="21"/>
          <w:szCs w:val="21"/>
        </w:rPr>
        <w:t>Donnerstag</w:t>
      </w:r>
      <w:r w:rsidRPr="00646D16">
        <w:rPr>
          <w:rFonts w:ascii="Arial" w:hAnsi="Arial" w:cs="Arial"/>
          <w:sz w:val="21"/>
          <w:szCs w:val="21"/>
        </w:rPr>
        <w:tab/>
      </w:r>
      <w:r w:rsidRPr="00646D16">
        <w:rPr>
          <w:rFonts w:ascii="Arial" w:hAnsi="Arial" w:cs="Arial"/>
          <w:sz w:val="21"/>
          <w:szCs w:val="21"/>
        </w:rPr>
        <w:tab/>
        <w:t>von 08:30 Uhr bis 12:00 Uhr und von 12:30 Uhr bis 15:00 Uhr,</w:t>
      </w:r>
    </w:p>
    <w:p w:rsidR="00646D16" w:rsidRPr="00646D16" w:rsidRDefault="00646D16" w:rsidP="00646D16">
      <w:pPr>
        <w:rPr>
          <w:rFonts w:ascii="Arial" w:hAnsi="Arial" w:cs="Arial"/>
          <w:sz w:val="21"/>
          <w:szCs w:val="21"/>
        </w:rPr>
      </w:pPr>
      <w:r w:rsidRPr="00646D16">
        <w:rPr>
          <w:rFonts w:ascii="Arial" w:hAnsi="Arial" w:cs="Arial"/>
          <w:sz w:val="21"/>
          <w:szCs w:val="21"/>
        </w:rPr>
        <w:t>Freitag</w:t>
      </w:r>
      <w:r w:rsidRPr="00646D16">
        <w:rPr>
          <w:rFonts w:ascii="Arial" w:hAnsi="Arial" w:cs="Arial"/>
          <w:sz w:val="21"/>
          <w:szCs w:val="21"/>
        </w:rPr>
        <w:tab/>
      </w:r>
      <w:r w:rsidRPr="00646D16">
        <w:rPr>
          <w:rFonts w:ascii="Arial" w:hAnsi="Arial" w:cs="Arial"/>
          <w:sz w:val="21"/>
          <w:szCs w:val="21"/>
        </w:rPr>
        <w:tab/>
      </w:r>
      <w:r w:rsidRPr="00646D16">
        <w:rPr>
          <w:rFonts w:ascii="Arial" w:hAnsi="Arial" w:cs="Arial"/>
          <w:sz w:val="21"/>
          <w:szCs w:val="21"/>
        </w:rPr>
        <w:tab/>
        <w:t>von 08:30 Uhr bis 12:00 Uhr.</w:t>
      </w:r>
    </w:p>
    <w:p w:rsidR="00646D16" w:rsidRDefault="00646D16" w:rsidP="00622F47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622F47" w:rsidRDefault="00622F47" w:rsidP="00622F47">
      <w:p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Zudem wird der Plan im Internet auf</w:t>
      </w:r>
      <w:r w:rsidR="00B67E4A">
        <w:rPr>
          <w:rFonts w:ascii="Arial" w:hAnsi="Arial" w:cs="Arial"/>
          <w:sz w:val="21"/>
          <w:szCs w:val="21"/>
        </w:rPr>
        <w:t xml:space="preserve"> </w:t>
      </w:r>
      <w:hyperlink r:id="rId6" w:history="1">
        <w:r w:rsidR="002C47E6" w:rsidRPr="003B2F29">
          <w:rPr>
            <w:rStyle w:val="Hyperlink"/>
            <w:rFonts w:ascii="Arial" w:hAnsi="Arial" w:cs="Arial"/>
            <w:sz w:val="21"/>
            <w:szCs w:val="21"/>
          </w:rPr>
          <w:t>https://rathaus.rostock.de</w:t>
        </w:r>
      </w:hyperlink>
      <w:r w:rsidR="002C47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veröffentlicht; maßgeblich ist jedoch der Inhal</w:t>
      </w:r>
      <w:r w:rsidR="00900C44">
        <w:rPr>
          <w:rFonts w:ascii="Arial" w:hAnsi="Arial" w:cs="Arial"/>
          <w:sz w:val="21"/>
          <w:szCs w:val="21"/>
        </w:rPr>
        <w:t>t der zur Einsicht ausgelegten U</w:t>
      </w:r>
      <w:r>
        <w:rPr>
          <w:rFonts w:ascii="Arial" w:hAnsi="Arial" w:cs="Arial"/>
          <w:sz w:val="21"/>
          <w:szCs w:val="21"/>
        </w:rPr>
        <w:t>nterlagen (§ 27 a Abs. 1 Verwaltungsverfahrensgesetz</w:t>
      </w:r>
      <w:r w:rsidR="00900C44">
        <w:rPr>
          <w:rFonts w:ascii="Arial" w:hAnsi="Arial" w:cs="Arial"/>
          <w:sz w:val="21"/>
          <w:szCs w:val="21"/>
        </w:rPr>
        <w:t xml:space="preserve"> Mecklenburg-Vorpommern, VwVfG M-V). </w:t>
      </w:r>
    </w:p>
    <w:p w:rsidR="00622F47" w:rsidRDefault="00622F47" w:rsidP="00622F47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103438" w:rsidRDefault="00586EC3" w:rsidP="00103438">
      <w:pPr>
        <w:pStyle w:val="Listenabsatz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622F47" w:rsidRPr="00622F47">
        <w:rPr>
          <w:rFonts w:ascii="Arial" w:hAnsi="Arial" w:cs="Arial"/>
          <w:sz w:val="21"/>
          <w:szCs w:val="21"/>
        </w:rPr>
        <w:t>Jeder kann bis spä</w:t>
      </w:r>
      <w:r w:rsidR="00945B77">
        <w:rPr>
          <w:rFonts w:ascii="Arial" w:hAnsi="Arial" w:cs="Arial"/>
          <w:sz w:val="21"/>
          <w:szCs w:val="21"/>
        </w:rPr>
        <w:t>testens 1 Monat</w:t>
      </w:r>
      <w:r w:rsidR="00C67CB4">
        <w:rPr>
          <w:rFonts w:ascii="Arial" w:hAnsi="Arial" w:cs="Arial"/>
          <w:sz w:val="21"/>
          <w:szCs w:val="21"/>
        </w:rPr>
        <w:t xml:space="preserve"> nach Ablauf der Ausle</w:t>
      </w:r>
      <w:r w:rsidR="00C538DC">
        <w:rPr>
          <w:rFonts w:ascii="Arial" w:hAnsi="Arial" w:cs="Arial"/>
          <w:sz w:val="21"/>
          <w:szCs w:val="21"/>
        </w:rPr>
        <w:t>g</w:t>
      </w:r>
      <w:r w:rsidR="002C47E6">
        <w:rPr>
          <w:rFonts w:ascii="Arial" w:hAnsi="Arial" w:cs="Arial"/>
          <w:sz w:val="21"/>
          <w:szCs w:val="21"/>
        </w:rPr>
        <w:t xml:space="preserve">ungsfrist, </w:t>
      </w:r>
      <w:r w:rsidR="00945B77">
        <w:rPr>
          <w:rFonts w:ascii="Arial" w:hAnsi="Arial" w:cs="Arial"/>
          <w:sz w:val="21"/>
          <w:szCs w:val="21"/>
        </w:rPr>
        <w:t>bis zum 13.12</w:t>
      </w:r>
      <w:r w:rsidR="00C538DC">
        <w:rPr>
          <w:rFonts w:ascii="Arial" w:hAnsi="Arial" w:cs="Arial"/>
          <w:sz w:val="21"/>
          <w:szCs w:val="21"/>
        </w:rPr>
        <w:t>.2021</w:t>
      </w:r>
      <w:r w:rsidR="00945B77">
        <w:rPr>
          <w:rFonts w:ascii="Arial" w:hAnsi="Arial" w:cs="Arial"/>
          <w:sz w:val="21"/>
          <w:szCs w:val="21"/>
        </w:rPr>
        <w:t xml:space="preserve">, </w:t>
      </w:r>
      <w:r w:rsidR="002C47E6">
        <w:rPr>
          <w:rFonts w:ascii="Arial" w:hAnsi="Arial" w:cs="Arial"/>
          <w:sz w:val="21"/>
          <w:szCs w:val="21"/>
        </w:rPr>
        <w:t xml:space="preserve">bei der Hanse- und Universitätsstadt Rostock, </w:t>
      </w:r>
      <w:r w:rsidR="002C47E6" w:rsidRPr="00E92AFC">
        <w:rPr>
          <w:rFonts w:ascii="Arial" w:hAnsi="Arial" w:cs="Arial"/>
          <w:sz w:val="21"/>
          <w:szCs w:val="21"/>
        </w:rPr>
        <w:t>Tiefbauamt,</w:t>
      </w:r>
      <w:r w:rsidR="002C47E6">
        <w:rPr>
          <w:rFonts w:ascii="Arial" w:hAnsi="Arial" w:cs="Arial"/>
          <w:sz w:val="21"/>
          <w:szCs w:val="21"/>
        </w:rPr>
        <w:t xml:space="preserve"> Holbeinplatz 14, 18069 Rostock, oder </w:t>
      </w:r>
      <w:r w:rsidR="00945B77">
        <w:rPr>
          <w:rFonts w:ascii="Arial" w:hAnsi="Arial" w:cs="Arial"/>
          <w:sz w:val="21"/>
          <w:szCs w:val="21"/>
        </w:rPr>
        <w:t xml:space="preserve">bei </w:t>
      </w:r>
      <w:r w:rsidR="00900C44">
        <w:rPr>
          <w:rFonts w:ascii="Arial" w:hAnsi="Arial" w:cs="Arial"/>
          <w:sz w:val="21"/>
          <w:szCs w:val="21"/>
        </w:rPr>
        <w:t xml:space="preserve">der Anhörungsbehörde Planfeststellungen, Neuer Markt 1, 18055 Rostock, Rathausanbau, Z. 4.17, </w:t>
      </w:r>
      <w:r w:rsidR="00C67CB4">
        <w:rPr>
          <w:rFonts w:ascii="Arial" w:hAnsi="Arial" w:cs="Arial"/>
          <w:sz w:val="21"/>
          <w:szCs w:val="21"/>
        </w:rPr>
        <w:t>Einwendungen gegen den Plan s</w:t>
      </w:r>
      <w:r w:rsidR="00900C44">
        <w:rPr>
          <w:rFonts w:ascii="Arial" w:hAnsi="Arial" w:cs="Arial"/>
          <w:sz w:val="21"/>
          <w:szCs w:val="21"/>
        </w:rPr>
        <w:t>chriftlich oder zur Niederschrif</w:t>
      </w:r>
      <w:r w:rsidR="00C67CB4">
        <w:rPr>
          <w:rFonts w:ascii="Arial" w:hAnsi="Arial" w:cs="Arial"/>
          <w:sz w:val="21"/>
          <w:szCs w:val="21"/>
        </w:rPr>
        <w:t xml:space="preserve">t erheben. Die Einwendung muss den geltend gemachten Belang und das </w:t>
      </w:r>
      <w:r w:rsidR="00C67CB4">
        <w:rPr>
          <w:rFonts w:ascii="Arial" w:hAnsi="Arial" w:cs="Arial"/>
          <w:sz w:val="21"/>
          <w:szCs w:val="21"/>
        </w:rPr>
        <w:lastRenderedPageBreak/>
        <w:t>Maß seiner Beeinträchtigung erkennen lassen. Nach Ablauf dieser Einwendungsfrist sind Einwendungen ausgeschlossen (§ 73 Abs. 4 Satz 3 VwVfG</w:t>
      </w:r>
      <w:r w:rsidR="00900C44">
        <w:rPr>
          <w:rFonts w:ascii="Arial" w:hAnsi="Arial" w:cs="Arial"/>
          <w:sz w:val="21"/>
          <w:szCs w:val="21"/>
        </w:rPr>
        <w:t xml:space="preserve"> M-V</w:t>
      </w:r>
      <w:r w:rsidR="00C67CB4">
        <w:rPr>
          <w:rFonts w:ascii="Arial" w:hAnsi="Arial" w:cs="Arial"/>
          <w:sz w:val="21"/>
          <w:szCs w:val="21"/>
        </w:rPr>
        <w:t>). Einwendungen und Stellungnahmen der Vereinigungen sind nach Ablauf dieser Frist ebenfalls ausgeschlossen (§ 73 Abs. 4 Satz 5 VwVfG</w:t>
      </w:r>
      <w:r w:rsidR="00900C44">
        <w:rPr>
          <w:rFonts w:ascii="Arial" w:hAnsi="Arial" w:cs="Arial"/>
          <w:sz w:val="21"/>
          <w:szCs w:val="21"/>
        </w:rPr>
        <w:t xml:space="preserve"> M-V</w:t>
      </w:r>
      <w:r w:rsidR="00C67CB4">
        <w:rPr>
          <w:rFonts w:ascii="Arial" w:hAnsi="Arial" w:cs="Arial"/>
          <w:sz w:val="21"/>
          <w:szCs w:val="21"/>
        </w:rPr>
        <w:t>). Bei Einwendungen, die vo</w:t>
      </w:r>
      <w:r w:rsidR="00900C44">
        <w:rPr>
          <w:rFonts w:ascii="Arial" w:hAnsi="Arial" w:cs="Arial"/>
          <w:sz w:val="21"/>
          <w:szCs w:val="21"/>
        </w:rPr>
        <w:t>n mehr als 50 Personen</w:t>
      </w:r>
      <w:r w:rsidR="00C67CB4">
        <w:rPr>
          <w:rFonts w:ascii="Arial" w:hAnsi="Arial" w:cs="Arial"/>
          <w:sz w:val="21"/>
          <w:szCs w:val="21"/>
        </w:rPr>
        <w:t xml:space="preserve"> auf Unterschriftslisten unterzeichnet oder in Form vervielfältigter gleichlautender Texte eingereicht werden (gleichförmige Eingaben), ist auf jeder mit einer Unterschrift versehenen Seite ein Unterzeichner mit Namen, Beruf und</w:t>
      </w:r>
      <w:r w:rsidR="00103438">
        <w:rPr>
          <w:rFonts w:ascii="Arial" w:hAnsi="Arial" w:cs="Arial"/>
          <w:sz w:val="21"/>
          <w:szCs w:val="21"/>
        </w:rPr>
        <w:t xml:space="preserve"> Anschrift als Vertreter der übrigen Unterzeichner zu bezeichnen. Anderenfalls können diese Einwendungen unberücksichtigt bleiben.</w:t>
      </w:r>
      <w:r w:rsidR="00103438">
        <w:rPr>
          <w:rFonts w:ascii="Arial" w:hAnsi="Arial" w:cs="Arial"/>
          <w:sz w:val="21"/>
          <w:szCs w:val="21"/>
        </w:rPr>
        <w:br/>
      </w:r>
    </w:p>
    <w:p w:rsidR="00103438" w:rsidRDefault="00586EC3" w:rsidP="00103438">
      <w:pPr>
        <w:pStyle w:val="Listenabsatz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103438">
        <w:rPr>
          <w:rFonts w:ascii="Arial" w:hAnsi="Arial" w:cs="Arial"/>
          <w:sz w:val="21"/>
          <w:szCs w:val="21"/>
        </w:rPr>
        <w:t>Diese ortsübliche Bekanntmachung dient auch der Benachrichtigung der Vereinigungen nach § 73 Abs. 4 Satz 5 VwVfG</w:t>
      </w:r>
      <w:r w:rsidR="00900C44">
        <w:rPr>
          <w:rFonts w:ascii="Arial" w:hAnsi="Arial" w:cs="Arial"/>
          <w:sz w:val="21"/>
          <w:szCs w:val="21"/>
        </w:rPr>
        <w:t xml:space="preserve"> M-V</w:t>
      </w:r>
      <w:r w:rsidR="00103438">
        <w:rPr>
          <w:rFonts w:ascii="Arial" w:hAnsi="Arial" w:cs="Arial"/>
          <w:sz w:val="21"/>
          <w:szCs w:val="21"/>
        </w:rPr>
        <w:t xml:space="preserve"> von der Auslegung des Plans.</w:t>
      </w:r>
      <w:r w:rsidR="00103438">
        <w:rPr>
          <w:rFonts w:ascii="Arial" w:hAnsi="Arial" w:cs="Arial"/>
          <w:sz w:val="21"/>
          <w:szCs w:val="21"/>
        </w:rPr>
        <w:br/>
      </w:r>
    </w:p>
    <w:p w:rsidR="00900C44" w:rsidRDefault="00586EC3" w:rsidP="00873FD9">
      <w:pPr>
        <w:pStyle w:val="Listenabsatz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900C44">
        <w:rPr>
          <w:rFonts w:ascii="Arial" w:hAnsi="Arial" w:cs="Arial"/>
          <w:sz w:val="21"/>
          <w:szCs w:val="21"/>
        </w:rPr>
        <w:t>Der</w:t>
      </w:r>
      <w:r w:rsidR="00103438">
        <w:rPr>
          <w:rFonts w:ascii="Arial" w:hAnsi="Arial" w:cs="Arial"/>
          <w:sz w:val="21"/>
          <w:szCs w:val="21"/>
        </w:rPr>
        <w:t xml:space="preserve"> Erörterungstermin</w:t>
      </w:r>
      <w:r w:rsidR="00900C44">
        <w:rPr>
          <w:rFonts w:ascii="Arial" w:hAnsi="Arial" w:cs="Arial"/>
          <w:sz w:val="21"/>
          <w:szCs w:val="21"/>
        </w:rPr>
        <w:t xml:space="preserve"> wird </w:t>
      </w:r>
      <w:r w:rsidR="003B7D4C">
        <w:rPr>
          <w:rFonts w:ascii="Arial" w:hAnsi="Arial" w:cs="Arial"/>
          <w:sz w:val="21"/>
          <w:szCs w:val="21"/>
        </w:rPr>
        <w:t>o</w:t>
      </w:r>
      <w:r w:rsidR="00900C44">
        <w:rPr>
          <w:rFonts w:ascii="Arial" w:hAnsi="Arial" w:cs="Arial"/>
          <w:sz w:val="21"/>
          <w:szCs w:val="21"/>
        </w:rPr>
        <w:t>rtsüblich bekannt gemacht</w:t>
      </w:r>
      <w:r w:rsidR="003B7D4C">
        <w:rPr>
          <w:rFonts w:ascii="Arial" w:hAnsi="Arial" w:cs="Arial"/>
          <w:sz w:val="21"/>
          <w:szCs w:val="21"/>
        </w:rPr>
        <w:t>.</w:t>
      </w:r>
      <w:r w:rsidR="00900C44">
        <w:rPr>
          <w:rFonts w:ascii="Arial" w:hAnsi="Arial" w:cs="Arial"/>
          <w:sz w:val="21"/>
          <w:szCs w:val="21"/>
        </w:rPr>
        <w:t xml:space="preserve"> Außerdem werden d</w:t>
      </w:r>
      <w:r w:rsidR="003B7D4C">
        <w:rPr>
          <w:rFonts w:ascii="Arial" w:hAnsi="Arial" w:cs="Arial"/>
          <w:sz w:val="21"/>
          <w:szCs w:val="21"/>
        </w:rPr>
        <w:t>iejenigen, die rechtze</w:t>
      </w:r>
      <w:r w:rsidR="00900C44">
        <w:rPr>
          <w:rFonts w:ascii="Arial" w:hAnsi="Arial" w:cs="Arial"/>
          <w:sz w:val="21"/>
          <w:szCs w:val="21"/>
        </w:rPr>
        <w:t>itig Einwendungen erhoben haben</w:t>
      </w:r>
      <w:r w:rsidR="003B7D4C">
        <w:rPr>
          <w:rFonts w:ascii="Arial" w:hAnsi="Arial" w:cs="Arial"/>
          <w:sz w:val="21"/>
          <w:szCs w:val="21"/>
        </w:rPr>
        <w:t xml:space="preserve"> bzw. bei gleichförmigen E</w:t>
      </w:r>
      <w:r w:rsidR="002C47E6">
        <w:rPr>
          <w:rFonts w:ascii="Arial" w:hAnsi="Arial" w:cs="Arial"/>
          <w:sz w:val="21"/>
          <w:szCs w:val="21"/>
        </w:rPr>
        <w:t>inwendungen</w:t>
      </w:r>
      <w:r w:rsidR="00900C44">
        <w:rPr>
          <w:rFonts w:ascii="Arial" w:hAnsi="Arial" w:cs="Arial"/>
          <w:sz w:val="21"/>
          <w:szCs w:val="21"/>
        </w:rPr>
        <w:t xml:space="preserve"> der Vertreter vo</w:t>
      </w:r>
      <w:r w:rsidR="003B7D4C">
        <w:rPr>
          <w:rFonts w:ascii="Arial" w:hAnsi="Arial" w:cs="Arial"/>
          <w:sz w:val="21"/>
          <w:szCs w:val="21"/>
        </w:rPr>
        <w:t>m Termin gesondert benachrichtigt (§ 17 VwVfG</w:t>
      </w:r>
      <w:r w:rsidR="00900C44">
        <w:rPr>
          <w:rFonts w:ascii="Arial" w:hAnsi="Arial" w:cs="Arial"/>
          <w:sz w:val="21"/>
          <w:szCs w:val="21"/>
        </w:rPr>
        <w:t xml:space="preserve"> M-V</w:t>
      </w:r>
      <w:r w:rsidR="003B7D4C">
        <w:rPr>
          <w:rFonts w:ascii="Arial" w:hAnsi="Arial" w:cs="Arial"/>
          <w:sz w:val="21"/>
          <w:szCs w:val="21"/>
        </w:rPr>
        <w:t xml:space="preserve">). Sind mehr als 50 Benachrichtigungen vorzunehmen, so können sie durch öffentliche </w:t>
      </w:r>
      <w:r w:rsidR="00FF362E">
        <w:rPr>
          <w:rFonts w:ascii="Arial" w:hAnsi="Arial" w:cs="Arial"/>
          <w:sz w:val="21"/>
          <w:szCs w:val="21"/>
        </w:rPr>
        <w:t>Bekanntmachung ersetzt werden.</w:t>
      </w:r>
      <w:r w:rsidR="00FF362E">
        <w:rPr>
          <w:rFonts w:ascii="Arial" w:hAnsi="Arial" w:cs="Arial"/>
          <w:sz w:val="21"/>
          <w:szCs w:val="21"/>
        </w:rPr>
        <w:br/>
      </w:r>
    </w:p>
    <w:p w:rsidR="00900C44" w:rsidRDefault="003B7D4C" w:rsidP="00900C44">
      <w:pPr>
        <w:pStyle w:val="Listenabsatz"/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Vertretung durch einen Bevollmächtigten ist möglich. Die Bevollmächtigung ist durch eine schriftliche Vollmacht nachzuweisen, die zu den Akten der </w:t>
      </w:r>
      <w:r w:rsidR="00FF362E">
        <w:rPr>
          <w:rFonts w:ascii="Arial" w:hAnsi="Arial" w:cs="Arial"/>
          <w:sz w:val="21"/>
          <w:szCs w:val="21"/>
        </w:rPr>
        <w:t>Anhörungsbehörde zu geben ist.</w:t>
      </w:r>
      <w:r w:rsidR="00FF362E">
        <w:rPr>
          <w:rFonts w:ascii="Arial" w:hAnsi="Arial" w:cs="Arial"/>
          <w:sz w:val="21"/>
          <w:szCs w:val="21"/>
        </w:rPr>
        <w:br/>
      </w:r>
    </w:p>
    <w:p w:rsidR="00900C44" w:rsidRDefault="003B7D4C" w:rsidP="00900C44">
      <w:pPr>
        <w:pStyle w:val="Listenabsatz"/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Bei </w:t>
      </w:r>
      <w:r w:rsidR="00CF4378">
        <w:rPr>
          <w:rFonts w:ascii="Arial" w:hAnsi="Arial" w:cs="Arial"/>
          <w:sz w:val="21"/>
          <w:szCs w:val="21"/>
        </w:rPr>
        <w:t>Ausbleiben eines Beteiligten in dem Erörterungstermin kann auch ohne ihn verhandelt werden.</w:t>
      </w:r>
      <w:r w:rsidR="00873FD9">
        <w:rPr>
          <w:rFonts w:ascii="Arial" w:hAnsi="Arial" w:cs="Arial"/>
          <w:sz w:val="21"/>
          <w:szCs w:val="21"/>
        </w:rPr>
        <w:t xml:space="preserve"> Das Anhörungsverfahren ist mit Abschluss des Erörterungstermins beendet.</w:t>
      </w:r>
      <w:r w:rsidR="00FF362E">
        <w:rPr>
          <w:rFonts w:ascii="Arial" w:hAnsi="Arial" w:cs="Arial"/>
          <w:sz w:val="21"/>
          <w:szCs w:val="21"/>
        </w:rPr>
        <w:br/>
      </w:r>
    </w:p>
    <w:p w:rsidR="00873FD9" w:rsidRDefault="00873FD9" w:rsidP="00900C44">
      <w:pPr>
        <w:pStyle w:val="Listenabsatz"/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Der Erörterungstermin ist nicht öffentlich.</w:t>
      </w:r>
      <w:r>
        <w:rPr>
          <w:rFonts w:ascii="Arial" w:hAnsi="Arial" w:cs="Arial"/>
          <w:sz w:val="21"/>
          <w:szCs w:val="21"/>
        </w:rPr>
        <w:br/>
      </w:r>
    </w:p>
    <w:p w:rsidR="00873FD9" w:rsidRDefault="00586EC3" w:rsidP="00873FD9">
      <w:pPr>
        <w:pStyle w:val="Listenabsatz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873FD9">
        <w:rPr>
          <w:rFonts w:ascii="Arial" w:hAnsi="Arial" w:cs="Arial"/>
          <w:sz w:val="21"/>
          <w:szCs w:val="21"/>
        </w:rPr>
        <w:t>Durch Einsichtnahme in die Planungsunterlagen, Erhebung von Einwendungen und Stellungnahmen, Teilnahme am Erörterungstermin oder Vertreterbestellung entstehende Kosten werden nicht erstattet.</w:t>
      </w:r>
      <w:r w:rsidR="00873FD9">
        <w:rPr>
          <w:rFonts w:ascii="Arial" w:hAnsi="Arial" w:cs="Arial"/>
          <w:sz w:val="21"/>
          <w:szCs w:val="21"/>
        </w:rPr>
        <w:br/>
      </w:r>
    </w:p>
    <w:p w:rsidR="00873FD9" w:rsidRDefault="00586EC3" w:rsidP="00873FD9">
      <w:pPr>
        <w:pStyle w:val="Listenabsatz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540061">
        <w:rPr>
          <w:rFonts w:ascii="Arial" w:hAnsi="Arial" w:cs="Arial"/>
          <w:sz w:val="21"/>
          <w:szCs w:val="21"/>
        </w:rPr>
        <w:t>Entschädigungsansprüche, soweit über sie nicht in der Planfeststellung dem Grunde nach zu entscheiden ist, werden nicht in dem Erörterungstermin, sondern in einem gesonderten Entschädigungsverfahren behandelt.</w:t>
      </w:r>
      <w:r w:rsidR="00732734">
        <w:rPr>
          <w:rFonts w:ascii="Arial" w:hAnsi="Arial" w:cs="Arial"/>
          <w:sz w:val="21"/>
          <w:szCs w:val="21"/>
        </w:rPr>
        <w:br/>
      </w:r>
    </w:p>
    <w:p w:rsidR="00900C44" w:rsidRDefault="00586EC3" w:rsidP="00900C44">
      <w:pPr>
        <w:pStyle w:val="Listenabsatz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732734">
        <w:rPr>
          <w:rFonts w:ascii="Arial" w:hAnsi="Arial" w:cs="Arial"/>
          <w:sz w:val="21"/>
          <w:szCs w:val="21"/>
        </w:rPr>
        <w:t>Über die Einwendungen und Stellungnahme wird nach Abschluss des Anhörungsverfahrens durch die Planfeststellungsbehörde entschieden</w:t>
      </w:r>
      <w:r w:rsidR="00082968">
        <w:rPr>
          <w:rFonts w:ascii="Arial" w:hAnsi="Arial" w:cs="Arial"/>
          <w:sz w:val="21"/>
          <w:szCs w:val="21"/>
        </w:rPr>
        <w:t xml:space="preserve">. Die Zustellung </w:t>
      </w:r>
      <w:r w:rsidR="00082968">
        <w:rPr>
          <w:rFonts w:ascii="Arial" w:hAnsi="Arial" w:cs="Arial"/>
          <w:sz w:val="21"/>
          <w:szCs w:val="21"/>
        </w:rPr>
        <w:lastRenderedPageBreak/>
        <w:t xml:space="preserve">der Entscheidung (Planfeststellungsbeschluss) an die </w:t>
      </w:r>
      <w:proofErr w:type="spellStart"/>
      <w:r w:rsidR="00082968">
        <w:rPr>
          <w:rFonts w:ascii="Arial" w:hAnsi="Arial" w:cs="Arial"/>
          <w:sz w:val="21"/>
          <w:szCs w:val="21"/>
        </w:rPr>
        <w:t>Einwender</w:t>
      </w:r>
      <w:proofErr w:type="spellEnd"/>
      <w:r w:rsidR="00082968">
        <w:rPr>
          <w:rFonts w:ascii="Arial" w:hAnsi="Arial" w:cs="Arial"/>
          <w:sz w:val="21"/>
          <w:szCs w:val="21"/>
        </w:rPr>
        <w:t xml:space="preserve"> und diejenigen, die eine Stellungnahme abgegebe</w:t>
      </w:r>
      <w:r w:rsidR="00B57981">
        <w:rPr>
          <w:rFonts w:ascii="Arial" w:hAnsi="Arial" w:cs="Arial"/>
          <w:sz w:val="21"/>
          <w:szCs w:val="21"/>
        </w:rPr>
        <w:t>n haben, kann durch öffentliche Bekannt</w:t>
      </w:r>
      <w:r w:rsidR="00B06842">
        <w:rPr>
          <w:rFonts w:ascii="Arial" w:hAnsi="Arial" w:cs="Arial"/>
          <w:sz w:val="21"/>
          <w:szCs w:val="21"/>
        </w:rPr>
        <w:t xml:space="preserve">machung ersetzt werden, wenn </w:t>
      </w:r>
      <w:r w:rsidR="005C2FF8">
        <w:rPr>
          <w:rFonts w:ascii="Arial" w:hAnsi="Arial" w:cs="Arial"/>
          <w:sz w:val="21"/>
          <w:szCs w:val="21"/>
        </w:rPr>
        <w:t>mehr als 50 Zustellungen vorzunehmen sind.</w:t>
      </w:r>
      <w:r w:rsidR="005C2FF8">
        <w:rPr>
          <w:rFonts w:ascii="Arial" w:hAnsi="Arial" w:cs="Arial"/>
          <w:sz w:val="21"/>
          <w:szCs w:val="21"/>
        </w:rPr>
        <w:br/>
      </w:r>
    </w:p>
    <w:p w:rsidR="00C538DC" w:rsidRDefault="00586EC3" w:rsidP="00C538DC">
      <w:pPr>
        <w:pStyle w:val="Listenabsatz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 w:val="21"/>
          <w:szCs w:val="21"/>
        </w:rPr>
      </w:pPr>
      <w:r w:rsidRPr="00900C44">
        <w:rPr>
          <w:rFonts w:ascii="Arial" w:hAnsi="Arial" w:cs="Arial"/>
          <w:sz w:val="21"/>
          <w:szCs w:val="21"/>
        </w:rPr>
        <w:t xml:space="preserve">  </w:t>
      </w:r>
      <w:r w:rsidR="00DC4E14" w:rsidRPr="00900C44">
        <w:rPr>
          <w:rFonts w:ascii="Arial" w:hAnsi="Arial" w:cs="Arial"/>
          <w:sz w:val="21"/>
          <w:szCs w:val="21"/>
        </w:rPr>
        <w:t>Da das Vorhaben UVP-pflichtig ist, wird darauf hingewiesen,</w:t>
      </w:r>
      <w:r w:rsidR="00DC4E14" w:rsidRPr="00900C44">
        <w:rPr>
          <w:rFonts w:ascii="Arial" w:hAnsi="Arial" w:cs="Arial"/>
          <w:sz w:val="21"/>
          <w:szCs w:val="21"/>
        </w:rPr>
        <w:br/>
        <w:t>- dass die für das</w:t>
      </w:r>
      <w:r w:rsidR="00900C44">
        <w:rPr>
          <w:rFonts w:ascii="Arial" w:hAnsi="Arial" w:cs="Arial"/>
          <w:sz w:val="21"/>
          <w:szCs w:val="21"/>
        </w:rPr>
        <w:t xml:space="preserve"> Verfahren zuständige Behörde </w:t>
      </w:r>
      <w:r w:rsidR="00DC4E14" w:rsidRPr="00900C44">
        <w:rPr>
          <w:rFonts w:ascii="Arial" w:hAnsi="Arial" w:cs="Arial"/>
          <w:sz w:val="21"/>
          <w:szCs w:val="21"/>
        </w:rPr>
        <w:t xml:space="preserve">und die für die Entscheidung über die </w:t>
      </w:r>
      <w:r w:rsidR="009706DD" w:rsidRPr="00900C44">
        <w:rPr>
          <w:rFonts w:ascii="Arial" w:hAnsi="Arial" w:cs="Arial"/>
          <w:sz w:val="21"/>
          <w:szCs w:val="21"/>
        </w:rPr>
        <w:t xml:space="preserve"> </w:t>
      </w:r>
      <w:r w:rsidR="009706DD" w:rsidRPr="00900C44">
        <w:rPr>
          <w:rFonts w:ascii="Arial" w:hAnsi="Arial" w:cs="Arial"/>
          <w:sz w:val="21"/>
          <w:szCs w:val="21"/>
        </w:rPr>
        <w:br/>
        <w:t xml:space="preserve">   </w:t>
      </w:r>
      <w:r w:rsidR="00DC4E14" w:rsidRPr="00900C44">
        <w:rPr>
          <w:rFonts w:ascii="Arial" w:hAnsi="Arial" w:cs="Arial"/>
          <w:sz w:val="21"/>
          <w:szCs w:val="21"/>
        </w:rPr>
        <w:t>Zulässigkeit des Vorhabens</w:t>
      </w:r>
      <w:r w:rsidR="00900C44">
        <w:rPr>
          <w:rFonts w:ascii="Arial" w:hAnsi="Arial" w:cs="Arial"/>
          <w:sz w:val="21"/>
          <w:szCs w:val="21"/>
        </w:rPr>
        <w:t xml:space="preserve"> zuständige Behörde das Landesamt für Straßenbau</w:t>
      </w:r>
      <w:r w:rsidR="00C538DC">
        <w:rPr>
          <w:rFonts w:ascii="Arial" w:hAnsi="Arial" w:cs="Arial"/>
          <w:sz w:val="21"/>
          <w:szCs w:val="21"/>
        </w:rPr>
        <w:t xml:space="preserve"> und              </w:t>
      </w:r>
    </w:p>
    <w:p w:rsidR="004F1F11" w:rsidRDefault="00C538DC" w:rsidP="00C538DC">
      <w:pPr>
        <w:pStyle w:val="Listenabsatz"/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Pr="00C538DC">
        <w:rPr>
          <w:rFonts w:ascii="Arial" w:hAnsi="Arial" w:cs="Arial"/>
          <w:sz w:val="21"/>
          <w:szCs w:val="21"/>
        </w:rPr>
        <w:t xml:space="preserve">Verkehr Mecklenburg-Vorpommern, An der </w:t>
      </w:r>
      <w:proofErr w:type="spellStart"/>
      <w:r w:rsidRPr="00C538DC">
        <w:rPr>
          <w:rFonts w:ascii="Arial" w:hAnsi="Arial" w:cs="Arial"/>
          <w:sz w:val="21"/>
          <w:szCs w:val="21"/>
        </w:rPr>
        <w:t>Jägerbäk</w:t>
      </w:r>
      <w:proofErr w:type="spellEnd"/>
      <w:r w:rsidRPr="00C538D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3,1</w:t>
      </w:r>
      <w:r w:rsidRPr="00C538DC">
        <w:rPr>
          <w:rFonts w:ascii="Arial" w:hAnsi="Arial" w:cs="Arial"/>
          <w:sz w:val="21"/>
          <w:szCs w:val="21"/>
        </w:rPr>
        <w:t>8069 Rostock,</w:t>
      </w:r>
      <w:r w:rsidR="00900C44" w:rsidRPr="00C538DC">
        <w:rPr>
          <w:rFonts w:ascii="Arial" w:hAnsi="Arial" w:cs="Arial"/>
          <w:sz w:val="21"/>
          <w:szCs w:val="21"/>
        </w:rPr>
        <w:t xml:space="preserve"> ist,</w:t>
      </w:r>
      <w:r w:rsidR="00900C44" w:rsidRPr="00C538DC">
        <w:rPr>
          <w:rFonts w:ascii="Arial" w:hAnsi="Arial" w:cs="Arial"/>
          <w:sz w:val="21"/>
          <w:szCs w:val="21"/>
        </w:rPr>
        <w:br/>
      </w:r>
      <w:r w:rsidR="00DC4E14" w:rsidRPr="00C538DC">
        <w:rPr>
          <w:rFonts w:ascii="Arial" w:hAnsi="Arial" w:cs="Arial"/>
          <w:sz w:val="21"/>
          <w:szCs w:val="21"/>
        </w:rPr>
        <w:t xml:space="preserve"> </w:t>
      </w:r>
      <w:r w:rsidR="00900C44" w:rsidRPr="00C538DC">
        <w:rPr>
          <w:rFonts w:ascii="Arial" w:hAnsi="Arial" w:cs="Arial"/>
          <w:sz w:val="21"/>
          <w:szCs w:val="21"/>
        </w:rPr>
        <w:t xml:space="preserve">- </w:t>
      </w:r>
      <w:r w:rsidR="00DC4E14" w:rsidRPr="00C538DC">
        <w:rPr>
          <w:rFonts w:ascii="Arial" w:hAnsi="Arial" w:cs="Arial"/>
          <w:sz w:val="21"/>
          <w:szCs w:val="21"/>
        </w:rPr>
        <w:t xml:space="preserve">dass  über die Zulässigkeit des Vorhabens durch Planfeststellungsbeschluss </w:t>
      </w:r>
      <w:r w:rsidR="009706DD" w:rsidRPr="00C538DC">
        <w:rPr>
          <w:rFonts w:ascii="Arial" w:hAnsi="Arial" w:cs="Arial"/>
          <w:sz w:val="21"/>
          <w:szCs w:val="21"/>
        </w:rPr>
        <w:br/>
        <w:t xml:space="preserve">  </w:t>
      </w:r>
      <w:r>
        <w:rPr>
          <w:rFonts w:ascii="Arial" w:hAnsi="Arial" w:cs="Arial"/>
          <w:sz w:val="21"/>
          <w:szCs w:val="21"/>
        </w:rPr>
        <w:t xml:space="preserve"> </w:t>
      </w:r>
      <w:r w:rsidR="00DC4E14" w:rsidRPr="00C538DC">
        <w:rPr>
          <w:rFonts w:ascii="Arial" w:hAnsi="Arial" w:cs="Arial"/>
          <w:sz w:val="21"/>
          <w:szCs w:val="21"/>
        </w:rPr>
        <w:t>entschieden werden wird,</w:t>
      </w:r>
      <w:r w:rsidR="00DC4E14" w:rsidRPr="00C538DC">
        <w:rPr>
          <w:rFonts w:ascii="Arial" w:hAnsi="Arial" w:cs="Arial"/>
          <w:sz w:val="21"/>
          <w:szCs w:val="21"/>
        </w:rPr>
        <w:br/>
        <w:t xml:space="preserve">- dass die ausgelegten Planungsunterlagen die nach § </w:t>
      </w:r>
      <w:r w:rsidR="00D96908">
        <w:rPr>
          <w:rFonts w:ascii="Arial" w:hAnsi="Arial" w:cs="Arial"/>
          <w:sz w:val="21"/>
          <w:szCs w:val="21"/>
        </w:rPr>
        <w:t>1</w:t>
      </w:r>
      <w:r w:rsidR="00DC4E14" w:rsidRPr="00C538DC">
        <w:rPr>
          <w:rFonts w:ascii="Arial" w:hAnsi="Arial" w:cs="Arial"/>
          <w:sz w:val="21"/>
          <w:szCs w:val="21"/>
        </w:rPr>
        <w:t xml:space="preserve">6 UVPG notwendigen </w:t>
      </w:r>
      <w:r w:rsidR="009706DD" w:rsidRPr="00C538DC">
        <w:rPr>
          <w:rFonts w:ascii="Arial" w:hAnsi="Arial" w:cs="Arial"/>
          <w:sz w:val="21"/>
          <w:szCs w:val="21"/>
        </w:rPr>
        <w:br/>
        <w:t xml:space="preserve">  </w:t>
      </w:r>
      <w:r w:rsidR="00DC4E14" w:rsidRPr="00C538DC">
        <w:rPr>
          <w:rFonts w:ascii="Arial" w:hAnsi="Arial" w:cs="Arial"/>
          <w:sz w:val="21"/>
          <w:szCs w:val="21"/>
        </w:rPr>
        <w:t xml:space="preserve">Angaben </w:t>
      </w:r>
      <w:r w:rsidR="007611F6" w:rsidRPr="00C538DC">
        <w:rPr>
          <w:rFonts w:ascii="Arial" w:hAnsi="Arial" w:cs="Arial"/>
          <w:sz w:val="21"/>
          <w:szCs w:val="21"/>
        </w:rPr>
        <w:t>enthalten</w:t>
      </w:r>
      <w:r w:rsidR="007611F6">
        <w:rPr>
          <w:rFonts w:ascii="Arial" w:hAnsi="Arial" w:cs="Arial"/>
          <w:sz w:val="21"/>
          <w:szCs w:val="21"/>
        </w:rPr>
        <w:t xml:space="preserve"> – der UVP-Bericht befindet sich in </w:t>
      </w:r>
      <w:r w:rsidR="00D96908">
        <w:rPr>
          <w:rFonts w:ascii="Arial" w:hAnsi="Arial" w:cs="Arial"/>
          <w:sz w:val="21"/>
          <w:szCs w:val="21"/>
        </w:rPr>
        <w:t xml:space="preserve">Ordner 5 </w:t>
      </w:r>
      <w:r w:rsidR="007611F6">
        <w:rPr>
          <w:rFonts w:ascii="Arial" w:hAnsi="Arial" w:cs="Arial"/>
          <w:sz w:val="21"/>
          <w:szCs w:val="21"/>
        </w:rPr>
        <w:t xml:space="preserve">der ausliegenden </w:t>
      </w:r>
      <w:r w:rsidR="004F1F11">
        <w:rPr>
          <w:rFonts w:ascii="Arial" w:hAnsi="Arial" w:cs="Arial"/>
          <w:sz w:val="21"/>
          <w:szCs w:val="21"/>
        </w:rPr>
        <w:t xml:space="preserve"> </w:t>
      </w:r>
    </w:p>
    <w:p w:rsidR="004F1F11" w:rsidRDefault="004F1F11" w:rsidP="00C538DC">
      <w:pPr>
        <w:pStyle w:val="Listenabsatz"/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7611F6">
        <w:rPr>
          <w:rFonts w:ascii="Arial" w:hAnsi="Arial" w:cs="Arial"/>
          <w:sz w:val="21"/>
          <w:szCs w:val="21"/>
        </w:rPr>
        <w:t xml:space="preserve">Unterlage </w:t>
      </w:r>
      <w:r w:rsidR="00D96908">
        <w:rPr>
          <w:rFonts w:ascii="Arial" w:hAnsi="Arial" w:cs="Arial"/>
          <w:sz w:val="21"/>
          <w:szCs w:val="21"/>
        </w:rPr>
        <w:t xml:space="preserve">als Unterlage 19.3; weitere entscheidungserhebliche </w:t>
      </w:r>
      <w:r w:rsidR="00791F5F">
        <w:rPr>
          <w:rFonts w:ascii="Arial" w:hAnsi="Arial" w:cs="Arial"/>
          <w:sz w:val="21"/>
          <w:szCs w:val="21"/>
        </w:rPr>
        <w:t xml:space="preserve">Unterlagen für die </w:t>
      </w:r>
    </w:p>
    <w:p w:rsidR="004F1F11" w:rsidRDefault="004F1F11" w:rsidP="00C538DC">
      <w:pPr>
        <w:pStyle w:val="Listenabsatz"/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791F5F">
        <w:rPr>
          <w:rFonts w:ascii="Arial" w:hAnsi="Arial" w:cs="Arial"/>
          <w:sz w:val="21"/>
          <w:szCs w:val="21"/>
        </w:rPr>
        <w:t>Bewertung der Umweltverträglichkeit des Vorhabens in den Ordnern 3</w:t>
      </w:r>
      <w:r>
        <w:rPr>
          <w:rFonts w:ascii="Arial" w:hAnsi="Arial" w:cs="Arial"/>
          <w:sz w:val="21"/>
          <w:szCs w:val="21"/>
        </w:rPr>
        <w:t>, 4 und 5</w:t>
      </w:r>
      <w:r w:rsidR="00791F5F">
        <w:rPr>
          <w:rFonts w:ascii="Arial" w:hAnsi="Arial" w:cs="Arial"/>
          <w:sz w:val="21"/>
          <w:szCs w:val="21"/>
        </w:rPr>
        <w:t xml:space="preserve"> der </w:t>
      </w:r>
    </w:p>
    <w:p w:rsidR="004F1F11" w:rsidRDefault="004F1F11" w:rsidP="00C538DC">
      <w:pPr>
        <w:pStyle w:val="Listenabsatz"/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791F5F">
        <w:rPr>
          <w:rFonts w:ascii="Arial" w:hAnsi="Arial" w:cs="Arial"/>
          <w:sz w:val="21"/>
          <w:szCs w:val="21"/>
        </w:rPr>
        <w:t>ausliegenden Unterlage sowie den Materialbänden 1</w:t>
      </w:r>
      <w:r>
        <w:rPr>
          <w:rFonts w:ascii="Arial" w:hAnsi="Arial" w:cs="Arial"/>
          <w:sz w:val="21"/>
          <w:szCs w:val="21"/>
        </w:rPr>
        <w:t>, 2 und 4</w:t>
      </w:r>
      <w:r w:rsidR="00791F5F">
        <w:rPr>
          <w:rFonts w:ascii="Arial" w:hAnsi="Arial" w:cs="Arial"/>
          <w:sz w:val="21"/>
          <w:szCs w:val="21"/>
        </w:rPr>
        <w:t xml:space="preserve"> mit umweltfachlichen </w:t>
      </w:r>
    </w:p>
    <w:p w:rsidR="004F1F11" w:rsidRDefault="004F1F11" w:rsidP="00C538DC">
      <w:pPr>
        <w:pStyle w:val="Listenabsatz"/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791F5F">
        <w:rPr>
          <w:rFonts w:ascii="Arial" w:hAnsi="Arial" w:cs="Arial"/>
          <w:sz w:val="21"/>
          <w:szCs w:val="21"/>
        </w:rPr>
        <w:t xml:space="preserve">Untersuchungen zu Flora, Fauna und übrigen Gutachten zu vorhabenbezogenen </w:t>
      </w:r>
    </w:p>
    <w:p w:rsidR="00DC4E14" w:rsidRPr="00C538DC" w:rsidRDefault="004F1F11" w:rsidP="00C538DC">
      <w:pPr>
        <w:pStyle w:val="Listenabsatz"/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791F5F">
        <w:rPr>
          <w:rFonts w:ascii="Arial" w:hAnsi="Arial" w:cs="Arial"/>
          <w:sz w:val="21"/>
          <w:szCs w:val="21"/>
        </w:rPr>
        <w:t xml:space="preserve">Auswirkungen,  die ebenfalls mit der Planunterlage öffentlich ausliegen </w:t>
      </w:r>
      <w:r w:rsidR="007611F6">
        <w:rPr>
          <w:rFonts w:ascii="Arial" w:hAnsi="Arial" w:cs="Arial"/>
          <w:sz w:val="21"/>
          <w:szCs w:val="21"/>
        </w:rPr>
        <w:t xml:space="preserve"> –  </w:t>
      </w:r>
      <w:r w:rsidR="00DC4E14" w:rsidRPr="00C538DC">
        <w:rPr>
          <w:rFonts w:ascii="Arial" w:hAnsi="Arial" w:cs="Arial"/>
          <w:sz w:val="21"/>
          <w:szCs w:val="21"/>
        </w:rPr>
        <w:t>und</w:t>
      </w:r>
      <w:r w:rsidR="00DC4E14" w:rsidRPr="00C538DC">
        <w:rPr>
          <w:rFonts w:ascii="Arial" w:hAnsi="Arial" w:cs="Arial"/>
          <w:sz w:val="21"/>
          <w:szCs w:val="21"/>
        </w:rPr>
        <w:br/>
        <w:t xml:space="preserve">- dass die Anhörung zu den ausgelegten Planungsunterlagen auch die Einbeziehung der </w:t>
      </w:r>
      <w:r w:rsidR="009706DD" w:rsidRPr="00C538DC">
        <w:rPr>
          <w:rFonts w:ascii="Arial" w:hAnsi="Arial" w:cs="Arial"/>
          <w:sz w:val="21"/>
          <w:szCs w:val="21"/>
        </w:rPr>
        <w:br/>
        <w:t xml:space="preserve">  </w:t>
      </w:r>
      <w:r w:rsidR="00DC4E14" w:rsidRPr="00C538DC">
        <w:rPr>
          <w:rFonts w:ascii="Arial" w:hAnsi="Arial" w:cs="Arial"/>
          <w:sz w:val="21"/>
          <w:szCs w:val="21"/>
        </w:rPr>
        <w:t xml:space="preserve">Öffentlichkeit zu den Umweltauswirkungen des Vorhabens gem. § </w:t>
      </w:r>
      <w:r w:rsidR="00D96908">
        <w:rPr>
          <w:rFonts w:ascii="Arial" w:hAnsi="Arial" w:cs="Arial"/>
          <w:sz w:val="21"/>
          <w:szCs w:val="21"/>
        </w:rPr>
        <w:t>18</w:t>
      </w:r>
      <w:r w:rsidR="00DC4E14" w:rsidRPr="00C538DC">
        <w:rPr>
          <w:rFonts w:ascii="Arial" w:hAnsi="Arial" w:cs="Arial"/>
          <w:sz w:val="21"/>
          <w:szCs w:val="21"/>
        </w:rPr>
        <w:t xml:space="preserve"> UV</w:t>
      </w:r>
      <w:r w:rsidR="00D96908">
        <w:rPr>
          <w:rFonts w:ascii="Arial" w:hAnsi="Arial" w:cs="Arial"/>
          <w:sz w:val="21"/>
          <w:szCs w:val="21"/>
        </w:rPr>
        <w:t>P</w:t>
      </w:r>
      <w:r w:rsidR="00DC4E14" w:rsidRPr="00C538DC">
        <w:rPr>
          <w:rFonts w:ascii="Arial" w:hAnsi="Arial" w:cs="Arial"/>
          <w:sz w:val="21"/>
          <w:szCs w:val="21"/>
        </w:rPr>
        <w:t xml:space="preserve">G ist. </w:t>
      </w:r>
    </w:p>
    <w:p w:rsidR="00DC4E14" w:rsidRDefault="00DC4E14" w:rsidP="00DC4E14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DC4E14" w:rsidRDefault="00DC4E14" w:rsidP="00DC4E14">
      <w:p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 Auftrag</w:t>
      </w:r>
    </w:p>
    <w:p w:rsidR="00DC4E14" w:rsidRDefault="00DC4E14" w:rsidP="00DC4E14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DC4E14" w:rsidRDefault="00DC4E14" w:rsidP="00DC4E14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DC4E14" w:rsidRDefault="00DC4E14" w:rsidP="00DC4E14">
      <w:p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……………………………………………………..…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………………………….</w:t>
      </w:r>
    </w:p>
    <w:p w:rsidR="00DC4E14" w:rsidRDefault="00DC4E14" w:rsidP="00DC4E14">
      <w:pPr>
        <w:spacing w:line="360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(Amtliches Veröffentlichungsblatt der Gemeinde)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(Unterschrift)</w:t>
      </w:r>
    </w:p>
    <w:p w:rsidR="00DC4E14" w:rsidRDefault="00DC4E14" w:rsidP="00DC4E14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DC4E14" w:rsidRDefault="00DC4E14" w:rsidP="00DC4E14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DC4E14" w:rsidRPr="00DC4E14" w:rsidRDefault="00DC4E14" w:rsidP="00DC4E14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5C7CDE" w:rsidRPr="00C83D2C" w:rsidRDefault="005C7CDE" w:rsidP="005C7CDE">
      <w:pPr>
        <w:spacing w:line="360" w:lineRule="auto"/>
        <w:jc w:val="left"/>
        <w:rPr>
          <w:rFonts w:ascii="Arial" w:hAnsi="Arial" w:cs="Arial"/>
          <w:b/>
          <w:sz w:val="21"/>
          <w:szCs w:val="21"/>
        </w:rPr>
      </w:pPr>
    </w:p>
    <w:p w:rsidR="00311338" w:rsidRDefault="00311338" w:rsidP="005C7CDE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:rsidR="005C7CDE" w:rsidRPr="00C83D2C" w:rsidRDefault="005C7CDE" w:rsidP="005C7CDE">
      <w:pPr>
        <w:spacing w:line="360" w:lineRule="auto"/>
        <w:jc w:val="left"/>
        <w:rPr>
          <w:rFonts w:ascii="Arial" w:hAnsi="Arial" w:cs="Arial"/>
          <w:sz w:val="21"/>
          <w:szCs w:val="21"/>
        </w:rPr>
      </w:pPr>
      <w:r w:rsidRPr="00C83D2C">
        <w:rPr>
          <w:rFonts w:ascii="Arial" w:hAnsi="Arial" w:cs="Arial"/>
          <w:sz w:val="21"/>
          <w:szCs w:val="21"/>
        </w:rPr>
        <w:tab/>
      </w:r>
    </w:p>
    <w:sectPr w:rsidR="005C7CDE" w:rsidRPr="00C83D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17"/>
    <w:multiLevelType w:val="hybridMultilevel"/>
    <w:tmpl w:val="EE34D4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253"/>
    <w:multiLevelType w:val="hybridMultilevel"/>
    <w:tmpl w:val="8300FF32"/>
    <w:lvl w:ilvl="0" w:tplc="989AF4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44443"/>
    <w:multiLevelType w:val="hybridMultilevel"/>
    <w:tmpl w:val="EBE2F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hnke, Ingmari">
    <w15:presenceInfo w15:providerId="AD" w15:userId="S-1-5-21-2758067676-399673162-3298596163-1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59"/>
    <w:rsid w:val="00082968"/>
    <w:rsid w:val="001007E1"/>
    <w:rsid w:val="00103438"/>
    <w:rsid w:val="001127C4"/>
    <w:rsid w:val="002A16A4"/>
    <w:rsid w:val="002C47E6"/>
    <w:rsid w:val="00311338"/>
    <w:rsid w:val="003B7D4C"/>
    <w:rsid w:val="004D5823"/>
    <w:rsid w:val="004F1F11"/>
    <w:rsid w:val="00505674"/>
    <w:rsid w:val="00540061"/>
    <w:rsid w:val="00586EC3"/>
    <w:rsid w:val="005C2FF8"/>
    <w:rsid w:val="005C7CDE"/>
    <w:rsid w:val="006023DE"/>
    <w:rsid w:val="00622F47"/>
    <w:rsid w:val="00646D16"/>
    <w:rsid w:val="00704EE3"/>
    <w:rsid w:val="00732734"/>
    <w:rsid w:val="007611F6"/>
    <w:rsid w:val="00791F5F"/>
    <w:rsid w:val="00834859"/>
    <w:rsid w:val="00873FD9"/>
    <w:rsid w:val="00884628"/>
    <w:rsid w:val="00900C44"/>
    <w:rsid w:val="00945B77"/>
    <w:rsid w:val="009706DD"/>
    <w:rsid w:val="00A06877"/>
    <w:rsid w:val="00AB7C02"/>
    <w:rsid w:val="00AD2CEE"/>
    <w:rsid w:val="00B06842"/>
    <w:rsid w:val="00B06A22"/>
    <w:rsid w:val="00B274F7"/>
    <w:rsid w:val="00B57981"/>
    <w:rsid w:val="00B67E4A"/>
    <w:rsid w:val="00C538DC"/>
    <w:rsid w:val="00C67CB4"/>
    <w:rsid w:val="00C83D2C"/>
    <w:rsid w:val="00CF4378"/>
    <w:rsid w:val="00D12206"/>
    <w:rsid w:val="00D96908"/>
    <w:rsid w:val="00DC4E14"/>
    <w:rsid w:val="00E665A6"/>
    <w:rsid w:val="00E91D21"/>
    <w:rsid w:val="00E92AFC"/>
    <w:rsid w:val="00F07B92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4EE3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2F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4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4EE3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2F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4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thaus.rostock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Rostock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Win10Support</dc:creator>
  <cp:lastModifiedBy>r66xx037</cp:lastModifiedBy>
  <cp:revision>4</cp:revision>
  <cp:lastPrinted>2021-08-27T11:42:00Z</cp:lastPrinted>
  <dcterms:created xsi:type="dcterms:W3CDTF">2021-09-15T07:07:00Z</dcterms:created>
  <dcterms:modified xsi:type="dcterms:W3CDTF">2021-09-16T14:04:00Z</dcterms:modified>
</cp:coreProperties>
</file>