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24" w:rsidRPr="00B67619" w:rsidRDefault="00461924" w:rsidP="0046192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de-DE"/>
        </w:rPr>
      </w:pPr>
      <w:r w:rsidRPr="00B67619">
        <w:rPr>
          <w:rFonts w:eastAsia="Times New Roman"/>
          <w:b/>
          <w:bCs/>
          <w:kern w:val="36"/>
          <w:lang w:eastAsia="de-DE"/>
        </w:rPr>
        <w:t xml:space="preserve">Wesentliche Änderung einer genehmigungsbedürftigen Biogasanlage gem. § 16 BImSchG der </w:t>
      </w:r>
      <w:r w:rsidR="00E43BF9" w:rsidRPr="00B67619">
        <w:rPr>
          <w:rFonts w:eastAsia="Times New Roman"/>
          <w:b/>
          <w:bCs/>
          <w:kern w:val="36"/>
          <w:lang w:eastAsia="de-DE"/>
        </w:rPr>
        <w:t xml:space="preserve">Biogas </w:t>
      </w:r>
      <w:proofErr w:type="spellStart"/>
      <w:r w:rsidR="00E43BF9" w:rsidRPr="00B67619">
        <w:rPr>
          <w:rFonts w:eastAsia="Times New Roman"/>
          <w:b/>
          <w:bCs/>
          <w:kern w:val="36"/>
          <w:lang w:eastAsia="de-DE"/>
        </w:rPr>
        <w:t>Behrenhoff</w:t>
      </w:r>
      <w:proofErr w:type="spellEnd"/>
      <w:r w:rsidR="00E43BF9" w:rsidRPr="00B67619">
        <w:rPr>
          <w:rFonts w:eastAsia="Times New Roman"/>
          <w:b/>
          <w:bCs/>
          <w:kern w:val="36"/>
          <w:lang w:eastAsia="de-DE"/>
        </w:rPr>
        <w:t xml:space="preserve"> GmbH </w:t>
      </w:r>
      <w:r w:rsidRPr="00B67619">
        <w:rPr>
          <w:rFonts w:eastAsia="Times New Roman"/>
          <w:b/>
          <w:bCs/>
          <w:kern w:val="36"/>
          <w:lang w:eastAsia="de-DE"/>
        </w:rPr>
        <w:t xml:space="preserve">in </w:t>
      </w:r>
      <w:proofErr w:type="spellStart"/>
      <w:r w:rsidR="00E43BF9" w:rsidRPr="00B67619">
        <w:rPr>
          <w:rFonts w:eastAsia="Times New Roman"/>
          <w:b/>
          <w:bCs/>
          <w:kern w:val="36"/>
          <w:lang w:eastAsia="de-DE"/>
        </w:rPr>
        <w:t>Behrenhoff</w:t>
      </w:r>
      <w:proofErr w:type="spellEnd"/>
    </w:p>
    <w:p w:rsidR="00461924" w:rsidRPr="00461924" w:rsidRDefault="00461924" w:rsidP="0046192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461924">
        <w:rPr>
          <w:rFonts w:eastAsia="Times New Roman"/>
          <w:b/>
          <w:bCs/>
          <w:lang w:eastAsia="de-DE"/>
        </w:rPr>
        <w:t>Bekanntmachung nach § 5 Absatz 2 des Gesetzes über die Umweltverträglichkeitsprüfung</w:t>
      </w:r>
    </w:p>
    <w:p w:rsidR="00961036" w:rsidRPr="00961036" w:rsidRDefault="00961036" w:rsidP="00961036">
      <w:pPr>
        <w:spacing w:line="360" w:lineRule="auto"/>
        <w:jc w:val="center"/>
        <w:rPr>
          <w:rFonts w:eastAsia="Times New Roman" w:cs="Times New Roman"/>
          <w:szCs w:val="20"/>
          <w:lang w:eastAsia="de-DE"/>
        </w:rPr>
      </w:pPr>
      <w:r w:rsidRPr="00961036">
        <w:rPr>
          <w:rFonts w:eastAsia="Times New Roman" w:cs="Times New Roman"/>
          <w:szCs w:val="20"/>
          <w:lang w:eastAsia="de-DE"/>
        </w:rPr>
        <w:t xml:space="preserve">Bekanntmachung des Staatlichen Amtes für Landwirtschaft und Umwelt Vorpommern </w:t>
      </w:r>
    </w:p>
    <w:p w:rsidR="00961036" w:rsidRPr="00961036" w:rsidRDefault="00961036" w:rsidP="00961036">
      <w:pPr>
        <w:spacing w:line="360" w:lineRule="auto"/>
        <w:jc w:val="center"/>
        <w:rPr>
          <w:rFonts w:eastAsia="Times New Roman" w:cs="Times New Roman"/>
          <w:szCs w:val="20"/>
          <w:lang w:eastAsia="de-DE"/>
        </w:rPr>
      </w:pPr>
      <w:r w:rsidRPr="00961036">
        <w:rPr>
          <w:rFonts w:eastAsia="Times New Roman" w:cs="Times New Roman"/>
          <w:szCs w:val="20"/>
          <w:lang w:eastAsia="de-DE"/>
        </w:rPr>
        <w:t xml:space="preserve">vom </w:t>
      </w:r>
      <w:r>
        <w:rPr>
          <w:rFonts w:eastAsia="Times New Roman" w:cs="Times New Roman"/>
          <w:szCs w:val="20"/>
          <w:lang w:eastAsia="de-DE"/>
        </w:rPr>
        <w:t>12.04.2021</w:t>
      </w:r>
      <w:bookmarkStart w:id="0" w:name="_GoBack"/>
      <w:bookmarkEnd w:id="0"/>
    </w:p>
    <w:p w:rsidR="007C5ED6" w:rsidRDefault="00E43BF9" w:rsidP="0064708A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E43BF9">
        <w:rPr>
          <w:rFonts w:eastAsia="Times New Roman"/>
          <w:sz w:val="22"/>
          <w:szCs w:val="22"/>
          <w:lang w:eastAsia="de-DE"/>
        </w:rPr>
        <w:t xml:space="preserve">Die </w:t>
      </w:r>
      <w:r w:rsidR="0064708A">
        <w:rPr>
          <w:rFonts w:eastAsia="Times New Roman"/>
          <w:sz w:val="22"/>
          <w:szCs w:val="22"/>
          <w:lang w:eastAsia="de-DE"/>
        </w:rPr>
        <w:t xml:space="preserve">Biogas </w:t>
      </w:r>
      <w:proofErr w:type="spellStart"/>
      <w:r w:rsidR="0064708A">
        <w:rPr>
          <w:rFonts w:eastAsia="Times New Roman"/>
          <w:sz w:val="22"/>
          <w:szCs w:val="22"/>
          <w:lang w:eastAsia="de-DE"/>
        </w:rPr>
        <w:t>Behrenhoff</w:t>
      </w:r>
      <w:proofErr w:type="spellEnd"/>
      <w:r w:rsidR="0064708A">
        <w:rPr>
          <w:rFonts w:eastAsia="Times New Roman"/>
          <w:sz w:val="22"/>
          <w:szCs w:val="22"/>
          <w:lang w:eastAsia="de-DE"/>
        </w:rPr>
        <w:t xml:space="preserve"> GmbH</w:t>
      </w:r>
      <w:r w:rsidRPr="00E43BF9">
        <w:rPr>
          <w:rFonts w:eastAsia="Times New Roman"/>
          <w:sz w:val="22"/>
          <w:szCs w:val="22"/>
          <w:lang w:eastAsia="de-DE"/>
        </w:rPr>
        <w:t xml:space="preserve"> beabsichtigt die wesentliche Änderung der bestehenden Biogasanlage am Standort </w:t>
      </w:r>
      <w:r w:rsidR="0064708A">
        <w:rPr>
          <w:rFonts w:eastAsia="Times New Roman"/>
          <w:sz w:val="22"/>
          <w:szCs w:val="22"/>
          <w:lang w:eastAsia="de-DE"/>
        </w:rPr>
        <w:t>17498</w:t>
      </w:r>
      <w:r w:rsidRPr="00E43BF9">
        <w:rPr>
          <w:rFonts w:eastAsia="Times New Roman"/>
          <w:sz w:val="22"/>
          <w:szCs w:val="22"/>
          <w:lang w:eastAsia="de-DE"/>
        </w:rPr>
        <w:t xml:space="preserve"> </w:t>
      </w:r>
      <w:proofErr w:type="spellStart"/>
      <w:r w:rsidR="0064708A">
        <w:rPr>
          <w:rFonts w:eastAsia="Times New Roman"/>
          <w:sz w:val="22"/>
          <w:szCs w:val="22"/>
          <w:lang w:eastAsia="de-DE"/>
        </w:rPr>
        <w:t>Behrenhoff</w:t>
      </w:r>
      <w:proofErr w:type="spellEnd"/>
      <w:r w:rsidRPr="00E43BF9">
        <w:rPr>
          <w:rFonts w:eastAsia="Times New Roman"/>
          <w:sz w:val="22"/>
          <w:szCs w:val="22"/>
          <w:lang w:eastAsia="de-DE"/>
        </w:rPr>
        <w:t xml:space="preserve">, Gemarkung </w:t>
      </w:r>
      <w:proofErr w:type="spellStart"/>
      <w:r w:rsidR="0064708A">
        <w:rPr>
          <w:rFonts w:eastAsia="Times New Roman"/>
          <w:sz w:val="22"/>
          <w:szCs w:val="22"/>
          <w:lang w:eastAsia="de-DE"/>
        </w:rPr>
        <w:t>Behrenhoff</w:t>
      </w:r>
      <w:proofErr w:type="spellEnd"/>
      <w:r w:rsidRPr="00E43BF9">
        <w:rPr>
          <w:rFonts w:eastAsia="Times New Roman"/>
          <w:sz w:val="22"/>
          <w:szCs w:val="22"/>
          <w:lang w:eastAsia="de-DE"/>
        </w:rPr>
        <w:t xml:space="preserve">, Flur 1, </w:t>
      </w:r>
      <w:r w:rsidR="0064708A" w:rsidRPr="00156B18">
        <w:rPr>
          <w:rFonts w:eastAsia="Times New Roman"/>
          <w:sz w:val="22"/>
          <w:szCs w:val="22"/>
          <w:lang w:eastAsia="de-DE"/>
        </w:rPr>
        <w:t>Flurstück</w:t>
      </w:r>
      <w:r w:rsidR="0064708A">
        <w:rPr>
          <w:rFonts w:eastAsia="Times New Roman"/>
          <w:sz w:val="22"/>
          <w:szCs w:val="22"/>
          <w:lang w:eastAsia="de-DE"/>
        </w:rPr>
        <w:t>e</w:t>
      </w:r>
      <w:r w:rsidR="0064708A" w:rsidRPr="00156B18">
        <w:rPr>
          <w:rFonts w:eastAsia="Times New Roman"/>
          <w:sz w:val="22"/>
          <w:szCs w:val="22"/>
          <w:lang w:eastAsia="de-DE"/>
        </w:rPr>
        <w:t xml:space="preserve"> </w:t>
      </w:r>
      <w:r w:rsidR="0064708A">
        <w:rPr>
          <w:rFonts w:eastAsia="Times New Roman"/>
          <w:sz w:val="22"/>
          <w:szCs w:val="22"/>
          <w:lang w:eastAsia="de-DE"/>
        </w:rPr>
        <w:t>164/11, 164/9, 164/6, 164/13</w:t>
      </w:r>
      <w:r w:rsidR="0064708A">
        <w:rPr>
          <w:rFonts w:eastAsia="Times New Roman"/>
          <w:sz w:val="22"/>
          <w:szCs w:val="22"/>
          <w:lang w:eastAsia="de-DE"/>
        </w:rPr>
        <w:t xml:space="preserve"> durch</w:t>
      </w:r>
    </w:p>
    <w:p w:rsidR="0064708A" w:rsidRPr="00866A1A" w:rsidRDefault="0064708A" w:rsidP="00647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288"/>
        <w:jc w:val="both"/>
        <w:rPr>
          <w:rFonts w:eastAsia="Times New Roman"/>
          <w:sz w:val="22"/>
          <w:szCs w:val="20"/>
          <w:lang w:eastAsia="de-DE"/>
        </w:rPr>
      </w:pPr>
      <w:r w:rsidRPr="00866A1A">
        <w:rPr>
          <w:rFonts w:eastAsia="Times New Roman"/>
          <w:sz w:val="22"/>
          <w:szCs w:val="20"/>
          <w:lang w:eastAsia="de-DE"/>
        </w:rPr>
        <w:t>Installation eines zusätzlichen BHKW mit einer elektrischen Leistung von 600 kW</w:t>
      </w:r>
    </w:p>
    <w:p w:rsidR="0064708A" w:rsidRPr="00866A1A" w:rsidRDefault="0064708A" w:rsidP="00647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288"/>
        <w:jc w:val="both"/>
        <w:rPr>
          <w:rFonts w:eastAsia="Times New Roman"/>
          <w:sz w:val="22"/>
          <w:szCs w:val="20"/>
          <w:lang w:eastAsia="de-DE"/>
        </w:rPr>
      </w:pPr>
      <w:r w:rsidRPr="00866A1A">
        <w:rPr>
          <w:rFonts w:eastAsia="Times New Roman"/>
          <w:sz w:val="22"/>
          <w:szCs w:val="20"/>
          <w:lang w:eastAsia="de-DE"/>
        </w:rPr>
        <w:t>die Errichtung und den Betrieb eines gasdichten Gärrestspeichers</w:t>
      </w:r>
    </w:p>
    <w:p w:rsidR="0064708A" w:rsidRPr="00866A1A" w:rsidRDefault="0064708A" w:rsidP="00647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288"/>
        <w:jc w:val="both"/>
        <w:rPr>
          <w:rFonts w:eastAsia="Times New Roman"/>
          <w:sz w:val="22"/>
          <w:szCs w:val="20"/>
          <w:lang w:eastAsia="de-DE"/>
        </w:rPr>
      </w:pPr>
      <w:r w:rsidRPr="00866A1A">
        <w:rPr>
          <w:rFonts w:eastAsia="Times New Roman"/>
          <w:sz w:val="22"/>
          <w:szCs w:val="20"/>
          <w:lang w:eastAsia="de-DE"/>
        </w:rPr>
        <w:t xml:space="preserve">Umnutzung des vorhandenen Gärrestspeichers zum </w:t>
      </w:r>
      <w:proofErr w:type="spellStart"/>
      <w:r w:rsidRPr="00866A1A">
        <w:rPr>
          <w:rFonts w:eastAsia="Times New Roman"/>
          <w:sz w:val="22"/>
          <w:szCs w:val="20"/>
          <w:lang w:eastAsia="de-DE"/>
        </w:rPr>
        <w:t>Nachgärer</w:t>
      </w:r>
      <w:proofErr w:type="spellEnd"/>
    </w:p>
    <w:p w:rsidR="0064708A" w:rsidRPr="00866A1A" w:rsidRDefault="0064708A" w:rsidP="00647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288"/>
        <w:jc w:val="both"/>
        <w:rPr>
          <w:rFonts w:eastAsia="Times New Roman"/>
          <w:sz w:val="22"/>
          <w:szCs w:val="20"/>
          <w:lang w:eastAsia="de-DE"/>
        </w:rPr>
      </w:pPr>
      <w:r w:rsidRPr="00866A1A">
        <w:rPr>
          <w:rFonts w:eastAsia="Times New Roman"/>
          <w:sz w:val="22"/>
          <w:szCs w:val="20"/>
          <w:lang w:eastAsia="de-DE"/>
        </w:rPr>
        <w:t>Umnutzung eines Güllebehälters zur Gärrestlagerung</w:t>
      </w:r>
    </w:p>
    <w:p w:rsidR="0064708A" w:rsidRDefault="0064708A" w:rsidP="00647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288"/>
        <w:jc w:val="both"/>
        <w:rPr>
          <w:rFonts w:eastAsia="Times New Roman"/>
          <w:sz w:val="22"/>
          <w:szCs w:val="20"/>
          <w:lang w:eastAsia="de-DE"/>
        </w:rPr>
      </w:pPr>
      <w:r w:rsidRPr="00866A1A">
        <w:rPr>
          <w:rFonts w:eastAsia="Times New Roman"/>
          <w:sz w:val="22"/>
          <w:szCs w:val="20"/>
          <w:lang w:eastAsia="de-DE"/>
        </w:rPr>
        <w:t>Änderung der Inputstoffe/Inputmengen</w:t>
      </w:r>
    </w:p>
    <w:p w:rsidR="0064708A" w:rsidRPr="00866A1A" w:rsidRDefault="0064708A" w:rsidP="00647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288"/>
        <w:jc w:val="both"/>
        <w:rPr>
          <w:rFonts w:eastAsia="Times New Roman"/>
          <w:sz w:val="22"/>
          <w:szCs w:val="20"/>
          <w:lang w:eastAsia="de-DE"/>
        </w:rPr>
      </w:pPr>
      <w:r w:rsidRPr="00866A1A">
        <w:rPr>
          <w:rFonts w:eastAsia="Times New Roman"/>
          <w:sz w:val="22"/>
          <w:szCs w:val="20"/>
          <w:lang w:eastAsia="de-DE"/>
        </w:rPr>
        <w:t xml:space="preserve">Errichtung eines </w:t>
      </w:r>
      <w:proofErr w:type="spellStart"/>
      <w:r w:rsidRPr="00866A1A">
        <w:rPr>
          <w:rFonts w:eastAsia="Times New Roman"/>
          <w:sz w:val="22"/>
          <w:szCs w:val="20"/>
          <w:lang w:eastAsia="de-DE"/>
        </w:rPr>
        <w:t>Havariewalls</w:t>
      </w:r>
      <w:proofErr w:type="spellEnd"/>
    </w:p>
    <w:p w:rsidR="0064708A" w:rsidRPr="0064708A" w:rsidRDefault="0064708A" w:rsidP="0064708A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64708A">
        <w:rPr>
          <w:rFonts w:eastAsia="Times New Roman"/>
          <w:sz w:val="22"/>
          <w:szCs w:val="22"/>
          <w:lang w:eastAsia="de-DE"/>
        </w:rPr>
        <w:t xml:space="preserve">Das Staatliche Amt für Landwirtschaft und Umwelt Vorpommern, Dienststelle Stralsund, hat als zuständige Genehmigungsbehörde eine standortbezogene Vorprüfung des Einzelfalls gemäß § 9 Absatz 2 Nr. 2 in Verbindung mit Nummer 1.2.2.2 der Anlage 1 des Gesetzes über die Umweltverträglichkeitsprüfung (UVPG) in der Fassung der Bekanntmachung vom 24. Februar 2010 (BGBl. I S. 94), zuletzt geändert durch Artikel </w:t>
      </w:r>
      <w:r w:rsidR="00F41B64">
        <w:rPr>
          <w:rFonts w:eastAsia="Times New Roman"/>
          <w:sz w:val="22"/>
          <w:szCs w:val="22"/>
          <w:lang w:eastAsia="de-DE"/>
        </w:rPr>
        <w:t>6</w:t>
      </w:r>
      <w:r w:rsidRPr="0064708A">
        <w:rPr>
          <w:rFonts w:eastAsia="Times New Roman"/>
          <w:sz w:val="22"/>
          <w:szCs w:val="22"/>
          <w:lang w:eastAsia="de-DE"/>
        </w:rPr>
        <w:t xml:space="preserve"> der Verordnung vom </w:t>
      </w:r>
      <w:r w:rsidR="00F41B64">
        <w:rPr>
          <w:rFonts w:eastAsia="Times New Roman"/>
          <w:sz w:val="22"/>
          <w:szCs w:val="22"/>
          <w:lang w:eastAsia="de-DE"/>
        </w:rPr>
        <w:t>25</w:t>
      </w:r>
      <w:r w:rsidRPr="0064708A">
        <w:rPr>
          <w:rFonts w:eastAsia="Times New Roman"/>
          <w:sz w:val="22"/>
          <w:szCs w:val="22"/>
          <w:lang w:eastAsia="de-DE"/>
        </w:rPr>
        <w:t xml:space="preserve">. </w:t>
      </w:r>
      <w:r w:rsidR="00F41B64">
        <w:rPr>
          <w:rFonts w:eastAsia="Times New Roman"/>
          <w:sz w:val="22"/>
          <w:szCs w:val="22"/>
          <w:lang w:eastAsia="de-DE"/>
        </w:rPr>
        <w:t>Februar</w:t>
      </w:r>
      <w:r w:rsidRPr="0064708A">
        <w:rPr>
          <w:rFonts w:eastAsia="Times New Roman"/>
          <w:sz w:val="22"/>
          <w:szCs w:val="22"/>
          <w:lang w:eastAsia="de-DE"/>
        </w:rPr>
        <w:t xml:space="preserve"> 202</w:t>
      </w:r>
      <w:r w:rsidR="00F41B64">
        <w:rPr>
          <w:rFonts w:eastAsia="Times New Roman"/>
          <w:sz w:val="22"/>
          <w:szCs w:val="22"/>
          <w:lang w:eastAsia="de-DE"/>
        </w:rPr>
        <w:t>1</w:t>
      </w:r>
      <w:r w:rsidRPr="0064708A">
        <w:rPr>
          <w:rFonts w:eastAsia="Times New Roman"/>
          <w:sz w:val="22"/>
          <w:szCs w:val="22"/>
          <w:lang w:eastAsia="de-DE"/>
        </w:rPr>
        <w:t xml:space="preserve"> (</w:t>
      </w:r>
      <w:hyperlink r:id="rId5" w:anchor="focuspoint" w:history="1">
        <w:r w:rsidRPr="0064708A">
          <w:rPr>
            <w:rFonts w:eastAsia="Times New Roman"/>
            <w:color w:val="0000FF"/>
            <w:sz w:val="22"/>
            <w:szCs w:val="22"/>
            <w:u w:val="single"/>
            <w:lang w:eastAsia="de-DE"/>
          </w:rPr>
          <w:t xml:space="preserve">BGBl. I S. </w:t>
        </w:r>
        <w:r w:rsidR="00F41B64">
          <w:rPr>
            <w:rFonts w:eastAsia="Times New Roman"/>
            <w:color w:val="0000FF"/>
            <w:sz w:val="22"/>
            <w:szCs w:val="22"/>
            <w:u w:val="single"/>
            <w:lang w:eastAsia="de-DE"/>
          </w:rPr>
          <w:t>306</w:t>
        </w:r>
      </w:hyperlink>
      <w:r w:rsidRPr="0064708A">
        <w:rPr>
          <w:rFonts w:eastAsia="Times New Roman"/>
          <w:sz w:val="22"/>
          <w:szCs w:val="22"/>
          <w:lang w:eastAsia="de-DE"/>
        </w:rPr>
        <w:t>) durchgeführt.</w:t>
      </w:r>
    </w:p>
    <w:p w:rsidR="00F41B64" w:rsidRPr="00F41B64" w:rsidRDefault="00F41B64" w:rsidP="00F41B64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F41B64">
        <w:rPr>
          <w:rFonts w:eastAsia="Times New Roman"/>
          <w:sz w:val="22"/>
          <w:szCs w:val="22"/>
          <w:lang w:eastAsia="de-DE"/>
        </w:rPr>
        <w:t>Die Prüfung hat zu dem Ergebnis geführt, dass von dem Vorhaben keine erheblich nachteiligen Umweltauswirkungen zu erwarten sind. Eine Umweltverträglichkeitsprüfung ist daher nicht erforderlich.</w:t>
      </w:r>
    </w:p>
    <w:p w:rsidR="00F41B64" w:rsidRPr="00F41B64" w:rsidRDefault="00F41B64" w:rsidP="00F41B64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F41B64">
        <w:rPr>
          <w:rFonts w:eastAsia="Times New Roman"/>
          <w:sz w:val="22"/>
          <w:szCs w:val="22"/>
          <w:lang w:eastAsia="de-DE"/>
        </w:rPr>
        <w:t>Wesentliche Gründe für das Nichtbestehen der UVP-Pflicht nach § 5 Absatz 2 Satz 2 und 3 UVPG ergeben sich aus der überschlägigen Prüfung gemäß den in Anlage 3 aufgeführten Schutzkriterien.</w:t>
      </w:r>
    </w:p>
    <w:p w:rsidR="00F41B64" w:rsidRPr="00FC622D" w:rsidRDefault="00F41B64" w:rsidP="00F41B64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FC622D">
        <w:rPr>
          <w:rFonts w:eastAsia="Times New Roman"/>
          <w:sz w:val="22"/>
          <w:szCs w:val="22"/>
          <w:lang w:eastAsia="de-DE"/>
        </w:rPr>
        <w:t xml:space="preserve">Bei den Geruchsemissionen ergeben sich nur geringfügige Änderungen. Die Immissionsrichtwerte für Lärm werden weiterhin deutlich unterschritten. Bei der Erweiterung werden keine zusätzlichen Flächen versiegelt, das </w:t>
      </w:r>
      <w:r w:rsidRPr="00FC622D">
        <w:rPr>
          <w:rFonts w:eastAsia="Times New Roman"/>
          <w:sz w:val="22"/>
          <w:szCs w:val="22"/>
          <w:lang w:eastAsia="de-DE"/>
        </w:rPr>
        <w:t xml:space="preserve">neue </w:t>
      </w:r>
      <w:r w:rsidR="00FC622D" w:rsidRPr="00FC622D">
        <w:rPr>
          <w:rFonts w:eastAsia="Times New Roman"/>
          <w:sz w:val="22"/>
          <w:szCs w:val="22"/>
          <w:lang w:eastAsia="de-DE"/>
        </w:rPr>
        <w:t>Flex-</w:t>
      </w:r>
      <w:r w:rsidRPr="00FC622D">
        <w:rPr>
          <w:rFonts w:eastAsia="Times New Roman"/>
          <w:sz w:val="22"/>
          <w:szCs w:val="22"/>
          <w:lang w:eastAsia="de-DE"/>
        </w:rPr>
        <w:t>BHKW</w:t>
      </w:r>
      <w:r w:rsidRPr="00FC622D">
        <w:rPr>
          <w:rFonts w:eastAsia="Times New Roman"/>
          <w:sz w:val="22"/>
          <w:szCs w:val="22"/>
          <w:lang w:eastAsia="de-DE"/>
        </w:rPr>
        <w:t xml:space="preserve"> wird i</w:t>
      </w:r>
      <w:r w:rsidRPr="00FC622D">
        <w:rPr>
          <w:rFonts w:eastAsia="Times New Roman"/>
          <w:sz w:val="22"/>
          <w:szCs w:val="22"/>
          <w:lang w:eastAsia="de-DE"/>
        </w:rPr>
        <w:t>n</w:t>
      </w:r>
      <w:r w:rsidRPr="00FC622D">
        <w:rPr>
          <w:rFonts w:eastAsia="Times New Roman"/>
          <w:sz w:val="22"/>
          <w:szCs w:val="22"/>
          <w:lang w:eastAsia="de-DE"/>
        </w:rPr>
        <w:t xml:space="preserve"> </w:t>
      </w:r>
      <w:r w:rsidRPr="00FC622D">
        <w:rPr>
          <w:rFonts w:eastAsia="Times New Roman"/>
          <w:sz w:val="22"/>
          <w:szCs w:val="22"/>
          <w:lang w:eastAsia="de-DE"/>
        </w:rPr>
        <w:t>einem schallgedämmten</w:t>
      </w:r>
      <w:r w:rsidRPr="00FC622D">
        <w:rPr>
          <w:rFonts w:eastAsia="Times New Roman"/>
          <w:sz w:val="22"/>
          <w:szCs w:val="22"/>
          <w:lang w:eastAsia="de-DE"/>
        </w:rPr>
        <w:t xml:space="preserve"> </w:t>
      </w:r>
      <w:r w:rsidRPr="00FC622D">
        <w:rPr>
          <w:rFonts w:eastAsia="Times New Roman"/>
          <w:sz w:val="22"/>
          <w:szCs w:val="22"/>
          <w:lang w:eastAsia="de-DE"/>
        </w:rPr>
        <w:t>Container</w:t>
      </w:r>
      <w:r w:rsidRPr="00FC622D">
        <w:rPr>
          <w:rFonts w:eastAsia="Times New Roman"/>
          <w:sz w:val="22"/>
          <w:szCs w:val="22"/>
          <w:lang w:eastAsia="de-DE"/>
        </w:rPr>
        <w:t xml:space="preserve"> aufgestellt. </w:t>
      </w:r>
      <w:r w:rsidR="00FC622D" w:rsidRPr="00FC622D">
        <w:rPr>
          <w:rFonts w:eastAsia="Times New Roman"/>
          <w:sz w:val="22"/>
          <w:szCs w:val="22"/>
          <w:lang w:eastAsia="de-DE"/>
        </w:rPr>
        <w:t xml:space="preserve">Schädliche Umwelteinwirkungen im Sinne der TA Lärm sind für die Nachbarschaft durch die gesamte Anlage mit den neuen Anlagenteilen nicht zu erwarten. </w:t>
      </w:r>
      <w:r w:rsidRPr="00FC622D">
        <w:rPr>
          <w:rFonts w:eastAsia="Times New Roman"/>
          <w:sz w:val="22"/>
          <w:szCs w:val="22"/>
          <w:lang w:eastAsia="de-DE"/>
        </w:rPr>
        <w:t>Die Umwallung der Biogasanlage erfolgt auf einer Fläche mit geringer Bedeutung.</w:t>
      </w:r>
    </w:p>
    <w:p w:rsidR="00FC622D" w:rsidRDefault="00FC622D" w:rsidP="00FC622D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FC622D">
        <w:rPr>
          <w:rFonts w:eastAsia="Times New Roman"/>
          <w:sz w:val="22"/>
          <w:szCs w:val="22"/>
          <w:lang w:eastAsia="de-DE"/>
        </w:rPr>
        <w:t>Erheblich nachteilige Umweltauswirkungen, welche die besondere Empfindlichkeit oder die Schutzziele eines der unter Anlage 3 UVPG aufgeführten Schutzkriteriums betreffen, ist durch die beantragte Erweiterung der vorhandenen Biogasanlage nicht zu erwarten.</w:t>
      </w:r>
    </w:p>
    <w:p w:rsidR="00FC622D" w:rsidRPr="00FC622D" w:rsidRDefault="00FC622D" w:rsidP="00FC622D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FC622D">
        <w:rPr>
          <w:rFonts w:eastAsia="Times New Roman"/>
          <w:sz w:val="22"/>
          <w:szCs w:val="22"/>
          <w:lang w:eastAsia="de-DE"/>
        </w:rPr>
        <w:t>Diese Feststellung ist gemäß § 5 Absatz 3 Satz 1 UVPG nicht selbständig anfechtbar.</w:t>
      </w:r>
    </w:p>
    <w:p w:rsidR="00FC622D" w:rsidRPr="00FC622D" w:rsidRDefault="00FC622D" w:rsidP="00FC622D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de-DE"/>
        </w:rPr>
      </w:pPr>
      <w:r w:rsidRPr="00FC622D">
        <w:rPr>
          <w:rFonts w:eastAsia="Times New Roman"/>
          <w:sz w:val="22"/>
          <w:szCs w:val="22"/>
          <w:lang w:eastAsia="de-DE"/>
        </w:rPr>
        <w:t>Die Genehmigungsbehörde wird über den Antrag nach den Vorschriften des Bundes-Immissionsschutzgesetzes entscheiden.</w:t>
      </w:r>
    </w:p>
    <w:sectPr w:rsidR="00FC622D" w:rsidRPr="00FC622D" w:rsidSect="0075414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60A4"/>
    <w:multiLevelType w:val="multilevel"/>
    <w:tmpl w:val="8C2CEA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12490B"/>
    <w:multiLevelType w:val="multilevel"/>
    <w:tmpl w:val="FABA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24"/>
    <w:rsid w:val="00017268"/>
    <w:rsid w:val="000229D8"/>
    <w:rsid w:val="00461924"/>
    <w:rsid w:val="00573B01"/>
    <w:rsid w:val="005A5CBD"/>
    <w:rsid w:val="005B3811"/>
    <w:rsid w:val="0064708A"/>
    <w:rsid w:val="006F5800"/>
    <w:rsid w:val="00754148"/>
    <w:rsid w:val="007627F1"/>
    <w:rsid w:val="007A374C"/>
    <w:rsid w:val="007C5ED6"/>
    <w:rsid w:val="00805D1C"/>
    <w:rsid w:val="00905E12"/>
    <w:rsid w:val="00961036"/>
    <w:rsid w:val="00B67619"/>
    <w:rsid w:val="00C81B80"/>
    <w:rsid w:val="00CC48BC"/>
    <w:rsid w:val="00CD6204"/>
    <w:rsid w:val="00E43BF9"/>
    <w:rsid w:val="00F121AE"/>
    <w:rsid w:val="00F41B64"/>
    <w:rsid w:val="00F74949"/>
    <w:rsid w:val="00FC4507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477"/>
  <w15:chartTrackingRefBased/>
  <w15:docId w15:val="{88CB7FEA-3460-428F-AF59-44570501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9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4708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ris.de/jportal/portal/t/1ehj/page/jurisw.psml?pid=Dokumentanzeige&amp;showdoccase=1&amp;js_peid=Trefferliste&amp;documentnumber=1&amp;numberofresults=13&amp;fromdoctodoc=yes&amp;doc.id=BGBL1-2010-94&amp;doc.part=F&amp;doc.price=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36473F3F.dotm</Template>
  <TotalTime>0</TotalTime>
  <Pages>1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VP-52c (Frau Genelauszus-Gerke)</dc:creator>
  <cp:keywords/>
  <dc:description/>
  <cp:lastModifiedBy>StALU VP-52c (Frau Genelauszus-Gerke)</cp:lastModifiedBy>
  <cp:revision>2</cp:revision>
  <dcterms:created xsi:type="dcterms:W3CDTF">2021-03-25T13:24:00Z</dcterms:created>
  <dcterms:modified xsi:type="dcterms:W3CDTF">2021-03-25T14:34:00Z</dcterms:modified>
</cp:coreProperties>
</file>