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97F" w:rsidRPr="00323239" w:rsidRDefault="00323239">
      <w:pPr>
        <w:rPr>
          <w:b/>
        </w:rPr>
      </w:pPr>
      <w:r w:rsidRPr="00323239">
        <w:rPr>
          <w:b/>
        </w:rPr>
        <w:t>Vorlage für die Amtlichen Bekanntmachungen</w:t>
      </w:r>
    </w:p>
    <w:p w:rsidR="00323239" w:rsidRDefault="00323239"/>
    <w:p w:rsidR="00323239" w:rsidRDefault="00323239"/>
    <w:tbl>
      <w:tblPr>
        <w:tblStyle w:val="Tabellenraster"/>
        <w:tblW w:w="0" w:type="auto"/>
        <w:tblLook w:val="04A0" w:firstRow="1" w:lastRow="0" w:firstColumn="1" w:lastColumn="0" w:noHBand="0" w:noVBand="1"/>
      </w:tblPr>
      <w:tblGrid>
        <w:gridCol w:w="38"/>
        <w:gridCol w:w="4446"/>
        <w:gridCol w:w="37"/>
        <w:gridCol w:w="2236"/>
        <w:gridCol w:w="629"/>
        <w:gridCol w:w="1681"/>
      </w:tblGrid>
      <w:tr w:rsidR="00026F2D" w:rsidRPr="00026F2D" w:rsidTr="004D6015">
        <w:tc>
          <w:tcPr>
            <w:tcW w:w="4536" w:type="dxa"/>
            <w:gridSpan w:val="2"/>
            <w:tcBorders>
              <w:top w:val="nil"/>
              <w:left w:val="nil"/>
              <w:bottom w:val="nil"/>
              <w:right w:val="single" w:sz="4" w:space="0" w:color="auto"/>
            </w:tcBorders>
          </w:tcPr>
          <w:p w:rsidR="00026F2D" w:rsidRPr="00026F2D" w:rsidRDefault="00026F2D" w:rsidP="006F354F">
            <w:r w:rsidRPr="00026F2D">
              <w:t>Veröffentlichungstermin:</w:t>
            </w:r>
          </w:p>
        </w:tc>
        <w:tc>
          <w:tcPr>
            <w:tcW w:w="4676" w:type="dxa"/>
            <w:gridSpan w:val="4"/>
            <w:tcBorders>
              <w:top w:val="single" w:sz="4" w:space="0" w:color="auto"/>
              <w:left w:val="single" w:sz="4" w:space="0" w:color="auto"/>
              <w:bottom w:val="single" w:sz="4" w:space="0" w:color="auto"/>
              <w:right w:val="single" w:sz="4" w:space="0" w:color="auto"/>
            </w:tcBorders>
          </w:tcPr>
          <w:p w:rsidR="00026F2D" w:rsidRPr="00026F2D" w:rsidRDefault="0053138B" w:rsidP="006F354F">
            <w:r>
              <w:t>Samstag, 01. Februar 2020</w:t>
            </w:r>
          </w:p>
        </w:tc>
      </w:tr>
      <w:tr w:rsidR="00026F2D" w:rsidRPr="00026F2D" w:rsidTr="00026F2D">
        <w:trPr>
          <w:gridBefore w:val="1"/>
          <w:gridAfter w:val="1"/>
          <w:wBefore w:w="38" w:type="dxa"/>
          <w:wAfter w:w="1733" w:type="dxa"/>
        </w:trPr>
        <w:tc>
          <w:tcPr>
            <w:tcW w:w="4536" w:type="dxa"/>
            <w:gridSpan w:val="2"/>
            <w:tcBorders>
              <w:top w:val="nil"/>
              <w:left w:val="nil"/>
              <w:bottom w:val="nil"/>
              <w:right w:val="nil"/>
            </w:tcBorders>
          </w:tcPr>
          <w:p w:rsidR="00026F2D" w:rsidRPr="00026F2D" w:rsidRDefault="00026F2D" w:rsidP="00BD225B">
            <w:r w:rsidRPr="00026F2D">
              <w:t xml:space="preserve">Tageszeitungen </w:t>
            </w:r>
          </w:p>
        </w:tc>
        <w:tc>
          <w:tcPr>
            <w:tcW w:w="2268" w:type="dxa"/>
            <w:tcBorders>
              <w:top w:val="nil"/>
              <w:left w:val="nil"/>
              <w:bottom w:val="nil"/>
              <w:right w:val="single" w:sz="4" w:space="0" w:color="auto"/>
            </w:tcBorders>
          </w:tcPr>
          <w:p w:rsidR="00026F2D" w:rsidRPr="00026F2D" w:rsidRDefault="00026F2D" w:rsidP="00BD225B">
            <w:r w:rsidRPr="00026F2D">
              <w:t>Weser-Kurier:</w:t>
            </w:r>
          </w:p>
        </w:tc>
        <w:tc>
          <w:tcPr>
            <w:tcW w:w="637" w:type="dxa"/>
            <w:tcBorders>
              <w:left w:val="single" w:sz="4" w:space="0" w:color="auto"/>
              <w:bottom w:val="single" w:sz="4" w:space="0" w:color="auto"/>
            </w:tcBorders>
          </w:tcPr>
          <w:p w:rsidR="00026F2D" w:rsidRPr="00026F2D" w:rsidRDefault="0053138B" w:rsidP="00BD225B">
            <w:pPr>
              <w:rPr>
                <w:rFonts w:cs="Arial"/>
              </w:rPr>
            </w:pPr>
            <w:r>
              <w:rPr>
                <w:rFonts w:cs="Arial"/>
              </w:rPr>
              <w:t>X</w:t>
            </w:r>
          </w:p>
        </w:tc>
      </w:tr>
      <w:tr w:rsidR="00026F2D" w:rsidRPr="00026F2D" w:rsidTr="00026F2D">
        <w:trPr>
          <w:gridBefore w:val="1"/>
          <w:gridAfter w:val="1"/>
          <w:wBefore w:w="38" w:type="dxa"/>
          <w:wAfter w:w="1733" w:type="dxa"/>
        </w:trPr>
        <w:tc>
          <w:tcPr>
            <w:tcW w:w="4536" w:type="dxa"/>
            <w:gridSpan w:val="2"/>
            <w:tcBorders>
              <w:top w:val="nil"/>
              <w:left w:val="nil"/>
              <w:bottom w:val="nil"/>
              <w:right w:val="nil"/>
            </w:tcBorders>
          </w:tcPr>
          <w:p w:rsidR="00026F2D" w:rsidRPr="00026F2D" w:rsidRDefault="00026F2D" w:rsidP="00BD225B">
            <w:pPr>
              <w:rPr>
                <w:rFonts w:cs="Arial"/>
              </w:rPr>
            </w:pPr>
          </w:p>
        </w:tc>
        <w:tc>
          <w:tcPr>
            <w:tcW w:w="2268" w:type="dxa"/>
            <w:tcBorders>
              <w:top w:val="nil"/>
              <w:left w:val="nil"/>
              <w:bottom w:val="nil"/>
              <w:right w:val="single" w:sz="4" w:space="0" w:color="auto"/>
            </w:tcBorders>
          </w:tcPr>
          <w:p w:rsidR="00026F2D" w:rsidRPr="00026F2D" w:rsidRDefault="00026F2D" w:rsidP="00BD225B">
            <w:pPr>
              <w:rPr>
                <w:rFonts w:cs="Arial"/>
              </w:rPr>
            </w:pPr>
            <w:r w:rsidRPr="00026F2D">
              <w:rPr>
                <w:rFonts w:cs="Arial"/>
              </w:rPr>
              <w:t>Nordsee-Zeitung</w:t>
            </w:r>
          </w:p>
        </w:tc>
        <w:tc>
          <w:tcPr>
            <w:tcW w:w="637" w:type="dxa"/>
            <w:tcBorders>
              <w:left w:val="single" w:sz="4" w:space="0" w:color="auto"/>
              <w:bottom w:val="single" w:sz="4" w:space="0" w:color="auto"/>
            </w:tcBorders>
          </w:tcPr>
          <w:p w:rsidR="00026F2D" w:rsidRPr="00026F2D" w:rsidRDefault="00026F2D" w:rsidP="00BD225B">
            <w:pPr>
              <w:rPr>
                <w:rFonts w:cs="Arial"/>
              </w:rPr>
            </w:pPr>
          </w:p>
        </w:tc>
      </w:tr>
      <w:tr w:rsidR="00026F2D" w:rsidRPr="00026F2D" w:rsidTr="00026F2D">
        <w:trPr>
          <w:gridBefore w:val="1"/>
          <w:gridAfter w:val="1"/>
          <w:wBefore w:w="38" w:type="dxa"/>
          <w:wAfter w:w="1733" w:type="dxa"/>
        </w:trPr>
        <w:tc>
          <w:tcPr>
            <w:tcW w:w="4536" w:type="dxa"/>
            <w:gridSpan w:val="2"/>
            <w:tcBorders>
              <w:top w:val="nil"/>
              <w:left w:val="nil"/>
              <w:bottom w:val="nil"/>
              <w:right w:val="nil"/>
            </w:tcBorders>
          </w:tcPr>
          <w:p w:rsidR="00026F2D" w:rsidRDefault="00026F2D" w:rsidP="00BD225B">
            <w:pPr>
              <w:rPr>
                <w:rFonts w:cs="Arial"/>
              </w:rPr>
            </w:pPr>
          </w:p>
          <w:p w:rsidR="00026F2D" w:rsidRDefault="00026F2D" w:rsidP="00BD225B">
            <w:pPr>
              <w:rPr>
                <w:rFonts w:cs="Arial"/>
              </w:rPr>
            </w:pPr>
          </w:p>
          <w:p w:rsidR="00026F2D" w:rsidRPr="00026F2D" w:rsidRDefault="00026F2D" w:rsidP="00BD225B">
            <w:pPr>
              <w:rPr>
                <w:rFonts w:cs="Arial"/>
              </w:rPr>
            </w:pPr>
          </w:p>
        </w:tc>
        <w:tc>
          <w:tcPr>
            <w:tcW w:w="2268" w:type="dxa"/>
            <w:tcBorders>
              <w:top w:val="nil"/>
              <w:left w:val="nil"/>
              <w:bottom w:val="nil"/>
              <w:right w:val="nil"/>
            </w:tcBorders>
          </w:tcPr>
          <w:p w:rsidR="00026F2D" w:rsidRPr="00026F2D" w:rsidRDefault="00026F2D" w:rsidP="00BD225B">
            <w:pPr>
              <w:rPr>
                <w:rFonts w:cs="Arial"/>
              </w:rPr>
            </w:pPr>
          </w:p>
        </w:tc>
        <w:tc>
          <w:tcPr>
            <w:tcW w:w="637" w:type="dxa"/>
            <w:tcBorders>
              <w:top w:val="single" w:sz="4" w:space="0" w:color="auto"/>
              <w:left w:val="nil"/>
              <w:bottom w:val="nil"/>
              <w:right w:val="nil"/>
            </w:tcBorders>
          </w:tcPr>
          <w:p w:rsidR="00026F2D" w:rsidRPr="00026F2D" w:rsidRDefault="00026F2D" w:rsidP="00BD225B">
            <w:pPr>
              <w:rPr>
                <w:rFonts w:cs="Arial"/>
              </w:rPr>
            </w:pPr>
          </w:p>
        </w:tc>
      </w:tr>
      <w:tr w:rsidR="00323239" w:rsidTr="00026F2D">
        <w:trPr>
          <w:trHeight w:val="2707"/>
        </w:trPr>
        <w:tc>
          <w:tcPr>
            <w:tcW w:w="9212" w:type="dxa"/>
            <w:gridSpan w:val="6"/>
          </w:tcPr>
          <w:p w:rsidR="0053138B" w:rsidRPr="0053138B" w:rsidRDefault="002949F2" w:rsidP="0053138B">
            <w:pPr>
              <w:rPr>
                <w:rFonts w:cs="Arial"/>
                <w:b/>
                <w:sz w:val="22"/>
              </w:rPr>
            </w:pPr>
            <w:r w:rsidRPr="002949F2">
              <w:rPr>
                <w:b/>
              </w:rPr>
              <w:t>&gt;</w:t>
            </w:r>
            <w:r>
              <w:rPr>
                <w:b/>
              </w:rPr>
              <w:t xml:space="preserve"> </w:t>
            </w:r>
            <w:r w:rsidR="0053138B" w:rsidRPr="0053138B">
              <w:rPr>
                <w:rFonts w:cs="Arial"/>
                <w:b/>
                <w:sz w:val="22"/>
              </w:rPr>
              <w:t xml:space="preserve">Öffentliche Bekanntmachung der Planfeststellung für den Neubau des Betriebshofes und der Umsteigeanlage in </w:t>
            </w:r>
            <w:proofErr w:type="spellStart"/>
            <w:r w:rsidR="0053138B" w:rsidRPr="0053138B">
              <w:rPr>
                <w:rFonts w:cs="Arial"/>
                <w:b/>
                <w:sz w:val="22"/>
              </w:rPr>
              <w:t>Gröpelingen</w:t>
            </w:r>
            <w:proofErr w:type="spellEnd"/>
            <w:r w:rsidR="0053138B" w:rsidRPr="0053138B">
              <w:rPr>
                <w:rFonts w:cs="Arial"/>
                <w:b/>
                <w:sz w:val="22"/>
              </w:rPr>
              <w:t xml:space="preserve"> </w:t>
            </w:r>
          </w:p>
          <w:p w:rsidR="0053138B" w:rsidRPr="0053138B" w:rsidRDefault="0053138B" w:rsidP="0053138B">
            <w:pPr>
              <w:spacing w:after="200"/>
              <w:rPr>
                <w:rFonts w:cs="Arial"/>
                <w:sz w:val="22"/>
              </w:rPr>
            </w:pPr>
            <w:r w:rsidRPr="0053138B">
              <w:rPr>
                <w:rFonts w:cs="Arial"/>
                <w:sz w:val="22"/>
              </w:rPr>
              <w:t>Mit Planfeststellungsbeschluss der Senatorin für Klimaschutz, Umwelt, Mobilität, Stadtentwicklung und Wohnungsbau, An der Reeperbahn 2, 28217 Bremen (Planfeststellungsbehörde) vom 29. Januar 2020 ist der Plan für das vorgenannte Bauvorhaben gemäß § 28 Personenbeförderungsgesetz (PBefG) festgestellt worden. Vorhabenträgerin ist die BSAG (Bremer Straßenbahn AG).</w:t>
            </w:r>
          </w:p>
          <w:p w:rsidR="0053138B" w:rsidRPr="0053138B" w:rsidRDefault="0053138B" w:rsidP="0053138B">
            <w:pPr>
              <w:spacing w:after="200"/>
              <w:rPr>
                <w:rFonts w:cs="Arial"/>
                <w:sz w:val="22"/>
              </w:rPr>
            </w:pPr>
            <w:r w:rsidRPr="0053138B">
              <w:rPr>
                <w:rFonts w:cs="Arial"/>
                <w:sz w:val="22"/>
              </w:rPr>
              <w:t xml:space="preserve">Gemäß § 27 UVPG ist dieser Planfeststellungsbeschluss in entsprechender Anwendung des § 74(5) S. 2 </w:t>
            </w:r>
            <w:proofErr w:type="spellStart"/>
            <w:r w:rsidRPr="0053138B">
              <w:rPr>
                <w:rFonts w:cs="Arial"/>
                <w:sz w:val="22"/>
              </w:rPr>
              <w:t>BremVwVfG</w:t>
            </w:r>
            <w:proofErr w:type="spellEnd"/>
            <w:r w:rsidRPr="0053138B">
              <w:rPr>
                <w:rFonts w:cs="Arial"/>
                <w:sz w:val="22"/>
              </w:rPr>
              <w:t xml:space="preserve"> öffentlich bekannt zu machen.</w:t>
            </w:r>
          </w:p>
          <w:p w:rsidR="0053138B" w:rsidRPr="0053138B" w:rsidRDefault="0053138B" w:rsidP="0053138B">
            <w:pPr>
              <w:spacing w:after="120"/>
              <w:jc w:val="both"/>
              <w:rPr>
                <w:rFonts w:cs="Arial"/>
                <w:sz w:val="22"/>
              </w:rPr>
            </w:pPr>
            <w:r w:rsidRPr="0053138B">
              <w:rPr>
                <w:rFonts w:cs="Arial"/>
                <w:sz w:val="22"/>
              </w:rPr>
              <w:t>Der Planfeststellungsbeschluss mit den dazugehörigen Planunterlagen liegt ab 10. Februar 2020 bis einschließlich 24. Februar 2020 bei der Senatorin für Klimaschutz, Umwelt, Mobilität, Stadtentwicklung und Wohnungsbau, An der Reeperbahn 2, 28217 Bremen, in der 8. Etage, Raum 8.05 zur allgemeinen Einsichtnahme aus. Er kann dort Montag – Donnerstag von 08.00 – 13.00 Uhr sowie nach telefonischer Verabredung unter der Telefonnummer (0421)361-2347 während der Auslegungszeit eingesehen werden.</w:t>
            </w:r>
          </w:p>
          <w:p w:rsidR="0053138B" w:rsidRPr="0053138B" w:rsidRDefault="0053138B" w:rsidP="0053138B">
            <w:pPr>
              <w:spacing w:after="120"/>
              <w:jc w:val="both"/>
              <w:rPr>
                <w:rFonts w:cs="Arial"/>
                <w:sz w:val="22"/>
              </w:rPr>
            </w:pPr>
            <w:r w:rsidRPr="0053138B">
              <w:rPr>
                <w:rFonts w:cs="Arial"/>
                <w:sz w:val="22"/>
              </w:rPr>
              <w:t>Darüber hinaus können Beschluss und Planunterlagen auf den Internetseiten der Senatorin für Klimaschutz, Umwelt, Mobilität, Stadtentwicklung und Wohnungsbau (Bereich Verkehr/Planfeststellung) sowie des UVP-Verbundes eingesehen werden. Für die Vollständigkeit und Übereinstimmung der im Internet veröffentlichten Unterlagen mit den amtlichen Auslegungsunterlagen wird keine Gewähr übernommen. Der Inhalt der zur Einsicht ausgelegten Unterlagen ist maßgeblich.</w:t>
            </w:r>
          </w:p>
          <w:p w:rsidR="0053138B" w:rsidRPr="0053138B" w:rsidRDefault="0053138B" w:rsidP="0053138B">
            <w:pPr>
              <w:spacing w:after="0"/>
              <w:jc w:val="both"/>
              <w:rPr>
                <w:rFonts w:cs="Arial"/>
                <w:sz w:val="22"/>
                <w:u w:val="single"/>
              </w:rPr>
            </w:pPr>
            <w:r w:rsidRPr="0053138B">
              <w:rPr>
                <w:rFonts w:cs="Arial"/>
                <w:sz w:val="22"/>
                <w:u w:val="single"/>
              </w:rPr>
              <w:t>Der verfügende Teil des Beschlusses lautet:</w:t>
            </w:r>
          </w:p>
          <w:p w:rsidR="0053138B" w:rsidRPr="0053138B" w:rsidRDefault="0053138B" w:rsidP="0053138B">
            <w:pPr>
              <w:spacing w:after="200"/>
              <w:jc w:val="both"/>
              <w:rPr>
                <w:rFonts w:cs="Arial"/>
                <w:i/>
                <w:sz w:val="22"/>
              </w:rPr>
            </w:pPr>
            <w:r w:rsidRPr="0053138B">
              <w:rPr>
                <w:rFonts w:cs="Arial"/>
                <w:i/>
                <w:sz w:val="22"/>
              </w:rPr>
              <w:t xml:space="preserve">Die Planunterlagen für den Neubau des Betriebshofes und der Umsteigeanlage </w:t>
            </w:r>
            <w:proofErr w:type="spellStart"/>
            <w:r w:rsidRPr="0053138B">
              <w:rPr>
                <w:rFonts w:cs="Arial"/>
                <w:i/>
                <w:sz w:val="22"/>
              </w:rPr>
              <w:t>Gröpelingen</w:t>
            </w:r>
            <w:proofErr w:type="spellEnd"/>
            <w:r w:rsidRPr="0053138B">
              <w:rPr>
                <w:rFonts w:cs="Arial"/>
                <w:i/>
                <w:sz w:val="22"/>
              </w:rPr>
              <w:t xml:space="preserve"> werden gemäß §§ 28 ff des Personenbeförderungsgesetzes (PBefG) in Verbindung mit den §§ 72 ff Bremisches Verwaltungsverfahrensgesetz (</w:t>
            </w:r>
            <w:proofErr w:type="spellStart"/>
            <w:r w:rsidRPr="0053138B">
              <w:rPr>
                <w:rFonts w:cs="Arial"/>
                <w:i/>
                <w:sz w:val="22"/>
              </w:rPr>
              <w:t>BremVwVfG</w:t>
            </w:r>
            <w:proofErr w:type="spellEnd"/>
            <w:r w:rsidRPr="0053138B">
              <w:rPr>
                <w:rFonts w:cs="Arial"/>
                <w:i/>
                <w:sz w:val="22"/>
              </w:rPr>
              <w:t>) einschließlich der Folgemaßnahmen mit den Änderungen und Ergänzungen (Blaueintragungen) in den Planunterlagen festgestellt.</w:t>
            </w:r>
          </w:p>
          <w:p w:rsidR="0053138B" w:rsidRPr="0053138B" w:rsidRDefault="0053138B" w:rsidP="0053138B">
            <w:pPr>
              <w:spacing w:after="200"/>
              <w:jc w:val="both"/>
              <w:rPr>
                <w:rFonts w:cs="Arial"/>
                <w:i/>
                <w:sz w:val="22"/>
              </w:rPr>
            </w:pPr>
            <w:r w:rsidRPr="0053138B">
              <w:rPr>
                <w:rFonts w:cs="Arial"/>
                <w:i/>
                <w:sz w:val="22"/>
              </w:rPr>
              <w:t>Der Beschluss ergeht unter den Nebenbestimmungen nach Ziffer I.2 dieses Beschlusses.</w:t>
            </w:r>
          </w:p>
          <w:p w:rsidR="0053138B" w:rsidRPr="0053138B" w:rsidRDefault="0053138B" w:rsidP="0053138B">
            <w:pPr>
              <w:spacing w:after="120"/>
              <w:jc w:val="both"/>
              <w:rPr>
                <w:rFonts w:cs="Arial"/>
                <w:sz w:val="22"/>
              </w:rPr>
            </w:pPr>
            <w:r w:rsidRPr="0053138B">
              <w:rPr>
                <w:rFonts w:cs="Arial"/>
                <w:sz w:val="22"/>
              </w:rPr>
              <w:t>Die Einwendungen der Betroffenen und der sonstigen Privaten sowie die von Trägern öffentlicher Belange geäußerten Forderungen und Anträge werden zurückgewiesen, soweit ihnen nicht entsprochen wurde oder sie sich nicht auf andere Weise erledigt haben.</w:t>
            </w:r>
          </w:p>
          <w:p w:rsidR="0053138B" w:rsidRPr="0053138B" w:rsidRDefault="0053138B" w:rsidP="0053138B">
            <w:pPr>
              <w:spacing w:after="120"/>
              <w:jc w:val="both"/>
              <w:rPr>
                <w:rFonts w:cs="Arial"/>
                <w:sz w:val="22"/>
              </w:rPr>
            </w:pPr>
            <w:r w:rsidRPr="0053138B">
              <w:rPr>
                <w:rFonts w:cs="Arial"/>
                <w:sz w:val="22"/>
              </w:rPr>
              <w:t>Mit dem Vorhaben sind folgende Auswirkungen verbunden: vorübergehende und dauerhafte Grundstücksinanspruchnahmen städtischen Eigentums, vorübergehende und dauerhafte Lärm- und Luftschadstoffbelastungen durch Verkehr, vorübergehende Belastungen durch Bauarbeiten, Eingriffe in Natur und Landschaft.</w:t>
            </w:r>
          </w:p>
          <w:p w:rsidR="0053138B" w:rsidRPr="0053138B" w:rsidRDefault="0053138B" w:rsidP="0053138B">
            <w:pPr>
              <w:spacing w:after="120"/>
              <w:jc w:val="both"/>
              <w:rPr>
                <w:rFonts w:cs="Arial"/>
                <w:sz w:val="22"/>
              </w:rPr>
            </w:pPr>
            <w:r w:rsidRPr="0053138B">
              <w:rPr>
                <w:rFonts w:cs="Arial"/>
                <w:sz w:val="22"/>
              </w:rPr>
              <w:t>Der Planfeststellungsbeschluss enthält Nebenbestimmungen zum Schutz der Allgemeinheit und der Umwelt sowie zur Vermeidung nachteiliger Wirkungen auf Rechte anderer. Die Nebenbestimmungen betreffen u.a. den Immissionsschutz, den Naturschutz, den Gewässerschutz und den Bodenschutz.</w:t>
            </w:r>
          </w:p>
          <w:p w:rsidR="0053138B" w:rsidRPr="0053138B" w:rsidRDefault="0053138B" w:rsidP="0053138B">
            <w:pPr>
              <w:spacing w:after="0"/>
              <w:jc w:val="both"/>
              <w:rPr>
                <w:rFonts w:cs="Arial"/>
                <w:b/>
                <w:sz w:val="22"/>
                <w:u w:val="single"/>
              </w:rPr>
            </w:pPr>
            <w:r w:rsidRPr="0053138B">
              <w:rPr>
                <w:rFonts w:cs="Arial"/>
                <w:b/>
                <w:sz w:val="22"/>
                <w:u w:val="single"/>
              </w:rPr>
              <w:t>Die Rechtsbehelfsbelehrung lautet:</w:t>
            </w:r>
          </w:p>
          <w:p w:rsidR="0053138B" w:rsidRPr="0053138B" w:rsidRDefault="0053138B" w:rsidP="0053138B">
            <w:pPr>
              <w:spacing w:after="0"/>
              <w:ind w:right="425"/>
              <w:jc w:val="both"/>
              <w:rPr>
                <w:rFonts w:eastAsia="Times New Roman" w:cs="Times New Roman"/>
                <w:i/>
                <w:sz w:val="22"/>
                <w:lang w:eastAsia="de-DE"/>
              </w:rPr>
            </w:pPr>
            <w:r w:rsidRPr="0053138B">
              <w:rPr>
                <w:rFonts w:eastAsia="Times New Roman" w:cs="Times New Roman"/>
                <w:i/>
                <w:sz w:val="22"/>
                <w:lang w:eastAsia="de-DE"/>
              </w:rPr>
              <w:t>Gegen den vorstehenden Planfeststellungsbeschluss und gegen die Kostenfestsetzung kann innerhalb eines Monats nach seiner Zustellung Klage beim Oberverwaltungsgericht der Freien Hansestadt Bremen, Am Wall 198, 28195 Bremen, erhoben werden. Als Zeitpunkt der Zustellung gilt der Tag der Bekanntgabe des Planfeststellungsbeschlusses durch die Behörde, mittels Postzustellungsurkunde bzw. durch öffentliche Auslegung.</w:t>
            </w:r>
          </w:p>
          <w:p w:rsidR="0053138B" w:rsidRPr="0053138B" w:rsidRDefault="0053138B" w:rsidP="0053138B">
            <w:pPr>
              <w:spacing w:after="120"/>
              <w:jc w:val="both"/>
              <w:rPr>
                <w:rFonts w:eastAsia="Times New Roman" w:cs="Times New Roman"/>
                <w:i/>
                <w:sz w:val="22"/>
                <w:lang w:eastAsia="de-DE"/>
              </w:rPr>
            </w:pPr>
            <w:r w:rsidRPr="0053138B">
              <w:rPr>
                <w:rFonts w:eastAsia="Times New Roman" w:cs="Times New Roman"/>
                <w:i/>
                <w:sz w:val="22"/>
                <w:lang w:eastAsia="de-DE"/>
              </w:rPr>
              <w:t xml:space="preserve">Vor dem Oberverwaltungsgericht müssen sich die Beteiligten durch Prozessbevollmächtigte vertreten lassen. Welche Bevollmächtigten dafür zugelassen sind, ergibt sich aus § 67 der Verwaltungsgerichtsordnung (VwGO). </w:t>
            </w:r>
          </w:p>
          <w:p w:rsidR="0053138B" w:rsidRPr="0053138B" w:rsidRDefault="0053138B" w:rsidP="0053138B">
            <w:pPr>
              <w:spacing w:after="120"/>
              <w:jc w:val="both"/>
              <w:rPr>
                <w:rFonts w:eastAsia="Times New Roman" w:cs="Times New Roman"/>
                <w:i/>
                <w:sz w:val="22"/>
                <w:lang w:eastAsia="de-DE"/>
              </w:rPr>
            </w:pPr>
            <w:r w:rsidRPr="0053138B">
              <w:rPr>
                <w:rFonts w:eastAsia="Times New Roman" w:cs="Times New Roman"/>
                <w:i/>
                <w:sz w:val="22"/>
                <w:lang w:eastAsia="de-DE"/>
              </w:rPr>
              <w:t xml:space="preserve">Die Klage ist beim Gericht schriftlich zu erheben. Sie kann nach Maßgabe des § 55a VwGO </w:t>
            </w:r>
            <w:proofErr w:type="spellStart"/>
            <w:r w:rsidRPr="0053138B">
              <w:rPr>
                <w:rFonts w:eastAsia="Times New Roman" w:cs="Times New Roman"/>
                <w:i/>
                <w:sz w:val="22"/>
                <w:lang w:eastAsia="de-DE"/>
              </w:rPr>
              <w:t>iVm</w:t>
            </w:r>
            <w:proofErr w:type="spellEnd"/>
            <w:r w:rsidRPr="0053138B">
              <w:rPr>
                <w:rFonts w:eastAsia="Times New Roman" w:cs="Times New Roman"/>
                <w:i/>
                <w:sz w:val="22"/>
                <w:lang w:eastAsia="de-DE"/>
              </w:rPr>
              <w:t xml:space="preserve"> der Verordnung über den elektronischen Rechtverkehr im Land Bremen vom 18.12.2006 (</w:t>
            </w:r>
            <w:proofErr w:type="spellStart"/>
            <w:r w:rsidRPr="0053138B">
              <w:rPr>
                <w:rFonts w:eastAsia="Times New Roman" w:cs="Times New Roman"/>
                <w:i/>
                <w:sz w:val="22"/>
                <w:lang w:eastAsia="de-DE"/>
              </w:rPr>
              <w:t>Brem.GBl</w:t>
            </w:r>
            <w:proofErr w:type="spellEnd"/>
            <w:r w:rsidRPr="0053138B">
              <w:rPr>
                <w:rFonts w:eastAsia="Times New Roman" w:cs="Times New Roman"/>
                <w:i/>
                <w:sz w:val="22"/>
                <w:lang w:eastAsia="de-DE"/>
              </w:rPr>
              <w:t>. S. 548), zuletzt §§ 1 und 2 geändert durch Verordnung vom 11. Dezember 2017 (</w:t>
            </w:r>
            <w:proofErr w:type="spellStart"/>
            <w:r w:rsidRPr="0053138B">
              <w:rPr>
                <w:rFonts w:eastAsia="Times New Roman" w:cs="Times New Roman"/>
                <w:i/>
                <w:sz w:val="22"/>
                <w:lang w:eastAsia="de-DE"/>
              </w:rPr>
              <w:t>Brem.GBl</w:t>
            </w:r>
            <w:proofErr w:type="spellEnd"/>
            <w:r w:rsidRPr="0053138B">
              <w:rPr>
                <w:rFonts w:eastAsia="Times New Roman" w:cs="Times New Roman"/>
                <w:i/>
                <w:sz w:val="22"/>
                <w:lang w:eastAsia="de-DE"/>
              </w:rPr>
              <w:t>. S. 813), auch als elektronisches Dokument bei Gericht eingereicht werden.</w:t>
            </w:r>
          </w:p>
          <w:p w:rsidR="0053138B" w:rsidRPr="0053138B" w:rsidRDefault="0053138B" w:rsidP="0053138B">
            <w:pPr>
              <w:spacing w:after="120"/>
              <w:ind w:right="425"/>
              <w:jc w:val="both"/>
              <w:rPr>
                <w:rFonts w:eastAsia="Times New Roman" w:cs="Times New Roman"/>
                <w:i/>
                <w:sz w:val="22"/>
                <w:lang w:eastAsia="de-DE"/>
              </w:rPr>
            </w:pPr>
            <w:r w:rsidRPr="0053138B">
              <w:rPr>
                <w:rFonts w:eastAsia="Times New Roman" w:cs="Times New Roman"/>
                <w:i/>
                <w:sz w:val="22"/>
                <w:lang w:eastAsia="de-DE"/>
              </w:rPr>
              <w:t xml:space="preserve">Die Klage muss den Kläger, den Beklagten (Die Senatorin für Klimaschutz, Umwelt, Mobilität, Stadtentwicklung und Wohnungsbau, </w:t>
            </w:r>
            <w:proofErr w:type="spellStart"/>
            <w:r w:rsidRPr="0053138B">
              <w:rPr>
                <w:rFonts w:eastAsia="Times New Roman" w:cs="Times New Roman"/>
                <w:i/>
                <w:sz w:val="22"/>
                <w:lang w:eastAsia="de-DE"/>
              </w:rPr>
              <w:t>Contrescarpe</w:t>
            </w:r>
            <w:proofErr w:type="spellEnd"/>
            <w:r w:rsidRPr="0053138B">
              <w:rPr>
                <w:rFonts w:eastAsia="Times New Roman" w:cs="Times New Roman"/>
                <w:i/>
                <w:sz w:val="22"/>
                <w:lang w:eastAsia="de-DE"/>
              </w:rPr>
              <w:t xml:space="preserve"> 72, 28195 Bremen) und den Gegenstand des Klagebegehrens bezeichnen. Sie soll einen bestimmten Antrag enthalten. Die zur Begründung dienenden Tatsachen und Beweismittel sind innerhalb einer Frist von zehn Wochen ab Klageerhebung anzugeben. Erklärungen und Beweismittel, die erst nach Ablauf dieser Frist vorgebracht werden, sind nur zuzulassen, wenn der Kläger die Verspätung genügend entschuldigt. Dies gilt nicht, wenn es mit geringem Aufwand möglich ist, den Sachverhalt auch ohne Mitwirkung des Klägers zu ermitteln. Der Entschuldigungsgrund ist auf Verlangen des Gerichts glaubhaft zu machen.</w:t>
            </w:r>
          </w:p>
          <w:p w:rsidR="0053138B" w:rsidRPr="0053138B" w:rsidRDefault="0053138B" w:rsidP="0053138B">
            <w:pPr>
              <w:spacing w:after="120"/>
              <w:ind w:right="425"/>
              <w:jc w:val="both"/>
              <w:rPr>
                <w:rFonts w:eastAsia="Times New Roman" w:cs="Times New Roman"/>
                <w:i/>
                <w:sz w:val="22"/>
                <w:lang w:eastAsia="de-DE"/>
              </w:rPr>
            </w:pPr>
            <w:r w:rsidRPr="0053138B">
              <w:rPr>
                <w:rFonts w:eastAsia="Times New Roman" w:cs="Times New Roman"/>
                <w:i/>
                <w:sz w:val="22"/>
                <w:lang w:eastAsia="de-DE"/>
              </w:rPr>
              <w:t xml:space="preserve">Die Anfechtungsklage gegen den vorstehenden Planfeststellungsbeschluss hat keine aufschiebende Wirkung. Der Antrag auf Anordnung der aufschiebenden Wirkung der Anfechtungsklage gegen den vorstehenden Planfeststellungsbeschluss nach § 80 Abs. 5 S. 1 der Verwaltungsgerichtsordnung (VwGO) kann nur innerhalb eines Monats nach Zustellung dieses Planfeststellungsbeschlusses beim Oberverwaltungsgericht Bremen, Am Wall 198, 28195 Bremen, gestellt und begründet werden. </w:t>
            </w:r>
          </w:p>
          <w:p w:rsidR="0053138B" w:rsidRPr="0053138B" w:rsidRDefault="0053138B" w:rsidP="0053138B">
            <w:pPr>
              <w:spacing w:after="0"/>
              <w:jc w:val="both"/>
              <w:rPr>
                <w:rFonts w:eastAsia="Times New Roman" w:cs="Times New Roman"/>
                <w:i/>
                <w:sz w:val="22"/>
                <w:szCs w:val="20"/>
                <w:lang w:eastAsia="de-DE"/>
              </w:rPr>
            </w:pPr>
          </w:p>
          <w:p w:rsidR="0053138B" w:rsidRPr="0053138B" w:rsidRDefault="0053138B" w:rsidP="0053138B">
            <w:pPr>
              <w:spacing w:after="120"/>
              <w:jc w:val="both"/>
              <w:rPr>
                <w:rFonts w:eastAsia="Times New Roman" w:cs="Times New Roman"/>
                <w:i/>
                <w:sz w:val="22"/>
                <w:szCs w:val="20"/>
                <w:lang w:eastAsia="de-DE"/>
              </w:rPr>
            </w:pPr>
            <w:r w:rsidRPr="0053138B">
              <w:rPr>
                <w:rFonts w:eastAsia="Times New Roman" w:cs="Times New Roman"/>
                <w:i/>
                <w:sz w:val="22"/>
                <w:szCs w:val="20"/>
                <w:lang w:eastAsia="de-DE"/>
              </w:rPr>
              <w:t xml:space="preserve">Gemäß § 74 Abs. 4 </w:t>
            </w:r>
            <w:proofErr w:type="spellStart"/>
            <w:r w:rsidRPr="0053138B">
              <w:rPr>
                <w:rFonts w:eastAsia="Times New Roman" w:cs="Times New Roman"/>
                <w:i/>
                <w:sz w:val="22"/>
                <w:szCs w:val="20"/>
                <w:lang w:eastAsia="de-DE"/>
              </w:rPr>
              <w:t>BremVwVfG</w:t>
            </w:r>
            <w:proofErr w:type="spellEnd"/>
            <w:r w:rsidRPr="0053138B">
              <w:rPr>
                <w:rFonts w:eastAsia="Times New Roman" w:cs="Times New Roman"/>
                <w:i/>
                <w:sz w:val="22"/>
                <w:szCs w:val="20"/>
                <w:lang w:eastAsia="de-DE"/>
              </w:rPr>
              <w:t xml:space="preserve"> gilt der Planfeststellungsbeschluss den Betroffenen, denen er nicht gesondert zugestellt wurde, mit dem Ende der zweiwöchigen Auslegungsfrist als zugestellt, d.h. bekannt gegeben.</w:t>
            </w:r>
          </w:p>
          <w:p w:rsidR="0053138B" w:rsidRPr="0053138B" w:rsidRDefault="0053138B" w:rsidP="0053138B">
            <w:pPr>
              <w:spacing w:after="200"/>
              <w:jc w:val="both"/>
              <w:rPr>
                <w:rFonts w:cs="Arial"/>
                <w:sz w:val="22"/>
              </w:rPr>
            </w:pPr>
            <w:r w:rsidRPr="0053138B">
              <w:rPr>
                <w:rFonts w:cs="Arial"/>
                <w:sz w:val="22"/>
              </w:rPr>
              <w:t>Bremen, den 29. Januar 2020</w:t>
            </w:r>
          </w:p>
          <w:p w:rsidR="0053138B" w:rsidRPr="0053138B" w:rsidRDefault="0053138B" w:rsidP="0053138B">
            <w:pPr>
              <w:spacing w:after="200"/>
              <w:jc w:val="both"/>
              <w:rPr>
                <w:rFonts w:cs="Arial"/>
                <w:sz w:val="22"/>
              </w:rPr>
            </w:pPr>
            <w:r w:rsidRPr="0053138B">
              <w:rPr>
                <w:rFonts w:cs="Arial"/>
                <w:sz w:val="22"/>
              </w:rPr>
              <w:t>Senatorin für Klimaschutz, Umwelt, Mobilität, Stadtentwicklung und Wohnungsbau</w:t>
            </w:r>
          </w:p>
          <w:p w:rsidR="00323239" w:rsidRDefault="00323239" w:rsidP="00323239">
            <w:pPr>
              <w:tabs>
                <w:tab w:val="left" w:pos="4536"/>
                <w:tab w:val="left" w:pos="4678"/>
              </w:tabs>
            </w:pPr>
            <w:bookmarkStart w:id="0" w:name="_GoBack"/>
            <w:bookmarkEnd w:id="0"/>
            <w:r>
              <w:t>Die Amtliche Bekanntma</w:t>
            </w:r>
            <w:r w:rsidR="002949F2">
              <w:t xml:space="preserve">chung ist auf der Internetseite </w:t>
            </w:r>
            <w:hyperlink r:id="rId8" w:history="1">
              <w:r w:rsidR="002949F2" w:rsidRPr="00070435">
                <w:rPr>
                  <w:rStyle w:val="Hyperlink"/>
                </w:rPr>
                <w:t>www.amtliche-bekanntmachungen.bremen.de</w:t>
              </w:r>
            </w:hyperlink>
            <w:r w:rsidR="008866BD">
              <w:t xml:space="preserve"> </w:t>
            </w:r>
            <w:r w:rsidR="002949F2">
              <w:t xml:space="preserve">und </w:t>
            </w:r>
            <w:hyperlink r:id="rId9" w:history="1">
              <w:r w:rsidR="002949F2" w:rsidRPr="00070435">
                <w:rPr>
                  <w:rStyle w:val="Hyperlink"/>
                </w:rPr>
                <w:t>www.amtliche-bekanntmachungen.bremerhaven.de</w:t>
              </w:r>
            </w:hyperlink>
            <w:r w:rsidR="002949F2">
              <w:t xml:space="preserve"> einzusehen</w:t>
            </w:r>
            <w:r w:rsidR="008866BD">
              <w:t>.</w:t>
            </w:r>
          </w:p>
          <w:p w:rsidR="00323239" w:rsidRDefault="00323239" w:rsidP="00323239">
            <w:pPr>
              <w:tabs>
                <w:tab w:val="left" w:pos="4536"/>
                <w:tab w:val="left" w:pos="4678"/>
              </w:tabs>
            </w:pPr>
            <w:r>
              <w:t>Des Weiteren können die Amtlichen Bekanntmachungen zu den üblichen Dienst</w:t>
            </w:r>
            <w:r>
              <w:softHyphen/>
              <w:t>zeiten in der Stadtgemeinde Bremen in den Ortsämter</w:t>
            </w:r>
            <w:r w:rsidR="00FE0520">
              <w:t>n</w:t>
            </w:r>
            <w:r>
              <w:t xml:space="preserve"> und in der Stadtgemeinde Bremerhaven beim Magistrat kostenfrei eingesehen werden (s.a. </w:t>
            </w:r>
            <w:proofErr w:type="spellStart"/>
            <w:r>
              <w:t>Brem.GBl</w:t>
            </w:r>
            <w:proofErr w:type="spellEnd"/>
            <w:r>
              <w:t>.</w:t>
            </w:r>
            <w:r w:rsidR="00230723">
              <w:t xml:space="preserve"> 2014</w:t>
            </w:r>
            <w:r>
              <w:t xml:space="preserve"> S. 551).</w:t>
            </w:r>
          </w:p>
          <w:p w:rsidR="00323239" w:rsidRDefault="00323239" w:rsidP="00323239">
            <w:pPr>
              <w:tabs>
                <w:tab w:val="left" w:pos="4536"/>
                <w:tab w:val="left" w:pos="4678"/>
              </w:tabs>
            </w:pPr>
          </w:p>
        </w:tc>
      </w:tr>
    </w:tbl>
    <w:p w:rsidR="00323239" w:rsidRDefault="00323239" w:rsidP="00323239">
      <w:pPr>
        <w:tabs>
          <w:tab w:val="left" w:pos="4536"/>
          <w:tab w:val="left" w:pos="4678"/>
        </w:tabs>
      </w:pPr>
    </w:p>
    <w:p w:rsidR="002949F2" w:rsidRDefault="002949F2" w:rsidP="00323239">
      <w:pPr>
        <w:tabs>
          <w:tab w:val="left" w:pos="4536"/>
          <w:tab w:val="left" w:pos="4678"/>
        </w:tabs>
      </w:pPr>
    </w:p>
    <w:p w:rsidR="002949F2" w:rsidRDefault="002949F2" w:rsidP="00323239">
      <w:pPr>
        <w:tabs>
          <w:tab w:val="left" w:pos="4536"/>
          <w:tab w:val="left" w:pos="4678"/>
        </w:tabs>
      </w:pPr>
      <w:r>
        <w:t>Falls ein Link im Text oder als Anlage eingefügt werden soll, diesen bitte hier angeben:</w:t>
      </w:r>
    </w:p>
    <w:p w:rsidR="002949F2" w:rsidRDefault="002949F2" w:rsidP="00323239">
      <w:pPr>
        <w:tabs>
          <w:tab w:val="left" w:pos="4536"/>
          <w:tab w:val="left" w:pos="4678"/>
        </w:tabs>
      </w:pPr>
    </w:p>
    <w:sectPr w:rsidR="002949F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380" w:rsidRDefault="00124380" w:rsidP="002949F2">
      <w:pPr>
        <w:spacing w:after="0"/>
      </w:pPr>
      <w:r>
        <w:separator/>
      </w:r>
    </w:p>
  </w:endnote>
  <w:endnote w:type="continuationSeparator" w:id="0">
    <w:p w:rsidR="00124380" w:rsidRDefault="00124380" w:rsidP="002949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9F2" w:rsidRDefault="002949F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9F2" w:rsidRDefault="002949F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9F2" w:rsidRDefault="002949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380" w:rsidRDefault="00124380" w:rsidP="002949F2">
      <w:pPr>
        <w:spacing w:after="0"/>
      </w:pPr>
      <w:r>
        <w:separator/>
      </w:r>
    </w:p>
  </w:footnote>
  <w:footnote w:type="continuationSeparator" w:id="0">
    <w:p w:rsidR="00124380" w:rsidRDefault="00124380" w:rsidP="002949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9F2" w:rsidRDefault="002949F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9F2" w:rsidRDefault="002949F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9F2" w:rsidRDefault="002949F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AD7580"/>
    <w:multiLevelType w:val="hybridMultilevel"/>
    <w:tmpl w:val="C316D9FC"/>
    <w:lvl w:ilvl="0" w:tplc="B7B42370">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380"/>
    <w:rsid w:val="00026F2D"/>
    <w:rsid w:val="000367F8"/>
    <w:rsid w:val="00090F1A"/>
    <w:rsid w:val="000E2C37"/>
    <w:rsid w:val="000E346E"/>
    <w:rsid w:val="00117933"/>
    <w:rsid w:val="00123885"/>
    <w:rsid w:val="00124380"/>
    <w:rsid w:val="00130DCC"/>
    <w:rsid w:val="00131CFF"/>
    <w:rsid w:val="001432E4"/>
    <w:rsid w:val="001446B3"/>
    <w:rsid w:val="00150437"/>
    <w:rsid w:val="00154B85"/>
    <w:rsid w:val="00160223"/>
    <w:rsid w:val="00197ED4"/>
    <w:rsid w:val="001A2F13"/>
    <w:rsid w:val="001C6992"/>
    <w:rsid w:val="002043EF"/>
    <w:rsid w:val="002105F8"/>
    <w:rsid w:val="00230723"/>
    <w:rsid w:val="00262522"/>
    <w:rsid w:val="00292D53"/>
    <w:rsid w:val="002949F2"/>
    <w:rsid w:val="002D4745"/>
    <w:rsid w:val="002F382E"/>
    <w:rsid w:val="00323239"/>
    <w:rsid w:val="00341749"/>
    <w:rsid w:val="00343CE8"/>
    <w:rsid w:val="0034564C"/>
    <w:rsid w:val="00374E76"/>
    <w:rsid w:val="003817E5"/>
    <w:rsid w:val="0039647F"/>
    <w:rsid w:val="003E1088"/>
    <w:rsid w:val="00432183"/>
    <w:rsid w:val="00474DCC"/>
    <w:rsid w:val="0047546C"/>
    <w:rsid w:val="004C351D"/>
    <w:rsid w:val="004C6C0E"/>
    <w:rsid w:val="004D6015"/>
    <w:rsid w:val="004F0C8B"/>
    <w:rsid w:val="005143E5"/>
    <w:rsid w:val="0053138B"/>
    <w:rsid w:val="005669C5"/>
    <w:rsid w:val="005A037E"/>
    <w:rsid w:val="005A383B"/>
    <w:rsid w:val="005B5C64"/>
    <w:rsid w:val="005C3664"/>
    <w:rsid w:val="00622FCA"/>
    <w:rsid w:val="00680A36"/>
    <w:rsid w:val="006B297F"/>
    <w:rsid w:val="006C0C7B"/>
    <w:rsid w:val="006C0E75"/>
    <w:rsid w:val="006C1357"/>
    <w:rsid w:val="006C238A"/>
    <w:rsid w:val="006D5247"/>
    <w:rsid w:val="006F4222"/>
    <w:rsid w:val="00704B86"/>
    <w:rsid w:val="007808FB"/>
    <w:rsid w:val="0079698E"/>
    <w:rsid w:val="007E1EA5"/>
    <w:rsid w:val="007E40F6"/>
    <w:rsid w:val="007E638E"/>
    <w:rsid w:val="007F549F"/>
    <w:rsid w:val="007F7B2B"/>
    <w:rsid w:val="00813EF5"/>
    <w:rsid w:val="00823F0A"/>
    <w:rsid w:val="00844305"/>
    <w:rsid w:val="00864E63"/>
    <w:rsid w:val="008822FB"/>
    <w:rsid w:val="008866BD"/>
    <w:rsid w:val="00890873"/>
    <w:rsid w:val="008D7855"/>
    <w:rsid w:val="008F3A7B"/>
    <w:rsid w:val="008F5392"/>
    <w:rsid w:val="00900CBE"/>
    <w:rsid w:val="00912276"/>
    <w:rsid w:val="0092303B"/>
    <w:rsid w:val="009536AC"/>
    <w:rsid w:val="00971F14"/>
    <w:rsid w:val="00974F03"/>
    <w:rsid w:val="009D3A81"/>
    <w:rsid w:val="009D6FEF"/>
    <w:rsid w:val="00A02C03"/>
    <w:rsid w:val="00A121B0"/>
    <w:rsid w:val="00A4166D"/>
    <w:rsid w:val="00A41885"/>
    <w:rsid w:val="00A51A72"/>
    <w:rsid w:val="00A602FF"/>
    <w:rsid w:val="00A60D24"/>
    <w:rsid w:val="00A62C70"/>
    <w:rsid w:val="00A66CBE"/>
    <w:rsid w:val="00A763D5"/>
    <w:rsid w:val="00AA077B"/>
    <w:rsid w:val="00AA39C4"/>
    <w:rsid w:val="00AC6746"/>
    <w:rsid w:val="00AE0AC0"/>
    <w:rsid w:val="00AE2C55"/>
    <w:rsid w:val="00B06BCA"/>
    <w:rsid w:val="00B20359"/>
    <w:rsid w:val="00B43B25"/>
    <w:rsid w:val="00B51625"/>
    <w:rsid w:val="00B75BB1"/>
    <w:rsid w:val="00BC11CA"/>
    <w:rsid w:val="00BC16E0"/>
    <w:rsid w:val="00BC6054"/>
    <w:rsid w:val="00BE6316"/>
    <w:rsid w:val="00BF7A6D"/>
    <w:rsid w:val="00C044C8"/>
    <w:rsid w:val="00C10DBF"/>
    <w:rsid w:val="00C159A5"/>
    <w:rsid w:val="00C97488"/>
    <w:rsid w:val="00CA09BB"/>
    <w:rsid w:val="00CA6129"/>
    <w:rsid w:val="00CB474F"/>
    <w:rsid w:val="00CC7103"/>
    <w:rsid w:val="00CD16AD"/>
    <w:rsid w:val="00D2045A"/>
    <w:rsid w:val="00D47139"/>
    <w:rsid w:val="00D51704"/>
    <w:rsid w:val="00D525B4"/>
    <w:rsid w:val="00D547ED"/>
    <w:rsid w:val="00D9342B"/>
    <w:rsid w:val="00D9440E"/>
    <w:rsid w:val="00DB76F8"/>
    <w:rsid w:val="00DC4C21"/>
    <w:rsid w:val="00DE44F5"/>
    <w:rsid w:val="00DF5B92"/>
    <w:rsid w:val="00E17366"/>
    <w:rsid w:val="00E40266"/>
    <w:rsid w:val="00E67050"/>
    <w:rsid w:val="00E701CB"/>
    <w:rsid w:val="00E77763"/>
    <w:rsid w:val="00E81A7A"/>
    <w:rsid w:val="00EB7F39"/>
    <w:rsid w:val="00ED5E4B"/>
    <w:rsid w:val="00EE4F9E"/>
    <w:rsid w:val="00EF1F7B"/>
    <w:rsid w:val="00F51020"/>
    <w:rsid w:val="00F82BEA"/>
    <w:rsid w:val="00FE052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2408D45"/>
  <w15:docId w15:val="{47D501A9-70A2-413C-8547-7FB83A610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5247"/>
    <w:pPr>
      <w:spacing w:after="240" w:line="240" w:lineRule="auto"/>
    </w:pPr>
    <w:rPr>
      <w:rFonts w:ascii="Arial" w:eastAsiaTheme="minorHAnsi" w:hAnsi="Arial"/>
      <w:sz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K-Textabsatz">
    <w:name w:val="SK-Textabsatz"/>
    <w:basedOn w:val="Standard"/>
    <w:link w:val="SK-TextabsatzZchn"/>
    <w:autoRedefine/>
    <w:qFormat/>
    <w:rsid w:val="006D5247"/>
    <w:pPr>
      <w:ind w:firstLine="284"/>
    </w:pPr>
    <w:rPr>
      <w:rFonts w:eastAsiaTheme="minorEastAsia" w:cs="Arial"/>
      <w:lang w:eastAsia="zh-CN"/>
    </w:rPr>
  </w:style>
  <w:style w:type="character" w:customStyle="1" w:styleId="SK-TextabsatzZchn">
    <w:name w:val="SK-Textabsatz Zchn"/>
    <w:basedOn w:val="Absatz-Standardschriftart"/>
    <w:link w:val="SK-Textabsatz"/>
    <w:rsid w:val="006D5247"/>
    <w:rPr>
      <w:rFonts w:ascii="Arial" w:hAnsi="Arial" w:cs="Arial"/>
      <w:sz w:val="24"/>
    </w:rPr>
  </w:style>
  <w:style w:type="paragraph" w:customStyle="1" w:styleId="Signatur">
    <w:name w:val="Signatur"/>
    <w:basedOn w:val="SK-Textabsatz"/>
    <w:autoRedefine/>
    <w:qFormat/>
    <w:rsid w:val="002043EF"/>
    <w:pPr>
      <w:ind w:firstLine="0"/>
      <w:jc w:val="right"/>
    </w:pPr>
    <w:rPr>
      <w:rFonts w:eastAsiaTheme="minorHAnsi"/>
      <w:lang w:eastAsia="de-DE"/>
    </w:rPr>
  </w:style>
  <w:style w:type="table" w:styleId="Tabellenraster">
    <w:name w:val="Table Grid"/>
    <w:basedOn w:val="NormaleTabelle"/>
    <w:uiPriority w:val="59"/>
    <w:rsid w:val="00323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23239"/>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23239"/>
    <w:rPr>
      <w:rFonts w:ascii="Tahoma" w:eastAsiaTheme="minorHAnsi" w:hAnsi="Tahoma" w:cs="Tahoma"/>
      <w:sz w:val="16"/>
      <w:szCs w:val="16"/>
      <w:lang w:eastAsia="en-US"/>
    </w:rPr>
  </w:style>
  <w:style w:type="paragraph" w:styleId="Kopfzeile">
    <w:name w:val="header"/>
    <w:basedOn w:val="Standard"/>
    <w:link w:val="KopfzeileZchn"/>
    <w:uiPriority w:val="99"/>
    <w:unhideWhenUsed/>
    <w:rsid w:val="002949F2"/>
    <w:pPr>
      <w:tabs>
        <w:tab w:val="center" w:pos="4536"/>
        <w:tab w:val="right" w:pos="9072"/>
      </w:tabs>
      <w:spacing w:after="0"/>
    </w:pPr>
  </w:style>
  <w:style w:type="character" w:customStyle="1" w:styleId="KopfzeileZchn">
    <w:name w:val="Kopfzeile Zchn"/>
    <w:basedOn w:val="Absatz-Standardschriftart"/>
    <w:link w:val="Kopfzeile"/>
    <w:uiPriority w:val="99"/>
    <w:rsid w:val="002949F2"/>
    <w:rPr>
      <w:rFonts w:ascii="Arial" w:eastAsiaTheme="minorHAnsi" w:hAnsi="Arial"/>
      <w:sz w:val="24"/>
      <w:lang w:eastAsia="en-US"/>
    </w:rPr>
  </w:style>
  <w:style w:type="paragraph" w:styleId="Fuzeile">
    <w:name w:val="footer"/>
    <w:basedOn w:val="Standard"/>
    <w:link w:val="FuzeileZchn"/>
    <w:uiPriority w:val="99"/>
    <w:unhideWhenUsed/>
    <w:rsid w:val="002949F2"/>
    <w:pPr>
      <w:tabs>
        <w:tab w:val="center" w:pos="4536"/>
        <w:tab w:val="right" w:pos="9072"/>
      </w:tabs>
      <w:spacing w:after="0"/>
    </w:pPr>
  </w:style>
  <w:style w:type="character" w:customStyle="1" w:styleId="FuzeileZchn">
    <w:name w:val="Fußzeile Zchn"/>
    <w:basedOn w:val="Absatz-Standardschriftart"/>
    <w:link w:val="Fuzeile"/>
    <w:uiPriority w:val="99"/>
    <w:rsid w:val="002949F2"/>
    <w:rPr>
      <w:rFonts w:ascii="Arial" w:eastAsiaTheme="minorHAnsi" w:hAnsi="Arial"/>
      <w:sz w:val="24"/>
      <w:lang w:eastAsia="en-US"/>
    </w:rPr>
  </w:style>
  <w:style w:type="character" w:styleId="Hyperlink">
    <w:name w:val="Hyperlink"/>
    <w:basedOn w:val="Absatz-Standardschriftart"/>
    <w:uiPriority w:val="99"/>
    <w:unhideWhenUsed/>
    <w:rsid w:val="002949F2"/>
    <w:rPr>
      <w:color w:val="0000FF" w:themeColor="hyperlink"/>
      <w:u w:val="single"/>
    </w:rPr>
  </w:style>
  <w:style w:type="paragraph" w:styleId="Listenabsatz">
    <w:name w:val="List Paragraph"/>
    <w:basedOn w:val="Standard"/>
    <w:uiPriority w:val="34"/>
    <w:qFormat/>
    <w:rsid w:val="00294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tliche-bekanntmachungen.breme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mtliche-bekanntmachungen.bremerhaven.de"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kaiser\AppData\Roaming\Microsoft\Templates\Amtlichen%20Bekanntmachung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5AC0F-06F2-453F-A3D9-54EA1AE39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Amtlichen Bekanntmachungen.dotx</Template>
  <TotalTime>0</TotalTime>
  <Pages>3</Pages>
  <Words>848</Words>
  <Characters>5343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Kaiser, Angela (SK)</dc:creator>
  <cp:lastModifiedBy>Kriesten, Annette (SUBV)</cp:lastModifiedBy>
  <cp:revision>2</cp:revision>
  <cp:lastPrinted>2015-02-03T11:30:00Z</cp:lastPrinted>
  <dcterms:created xsi:type="dcterms:W3CDTF">2020-01-29T09:28:00Z</dcterms:created>
  <dcterms:modified xsi:type="dcterms:W3CDTF">2020-01-29T09:28:00Z</dcterms:modified>
</cp:coreProperties>
</file>