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87" w:rsidRDefault="00615F01" w:rsidP="00A2507B">
      <w:pPr>
        <w:tabs>
          <w:tab w:val="center" w:pos="4536"/>
          <w:tab w:val="right" w:pos="9072"/>
        </w:tabs>
        <w:rPr>
          <w:rFonts w:ascii="Times New Roman" w:eastAsia="Times New Roman" w:hAnsi="Times New Roman"/>
          <w:sz w:val="24"/>
          <w:szCs w:val="20"/>
          <w:lang w:eastAsia="de-DE"/>
        </w:rPr>
      </w:pPr>
      <w:r>
        <w:rPr>
          <w:rFonts w:ascii="Times New Roman" w:eastAsia="Times New Roman" w:hAnsi="Times New Roman"/>
          <w:sz w:val="24"/>
          <w:szCs w:val="20"/>
          <w:lang w:eastAsia="de-DE"/>
        </w:rPr>
        <w:t>42-1711-01</w:t>
      </w:r>
      <w:r w:rsidR="00135319">
        <w:rPr>
          <w:rFonts w:ascii="Times New Roman" w:eastAsia="Times New Roman" w:hAnsi="Times New Roman"/>
          <w:sz w:val="24"/>
          <w:szCs w:val="20"/>
          <w:lang w:eastAsia="de-DE"/>
        </w:rPr>
        <w:t>-</w:t>
      </w:r>
      <w:r w:rsidR="00070172">
        <w:rPr>
          <w:rFonts w:ascii="Times New Roman" w:eastAsia="Times New Roman" w:hAnsi="Times New Roman"/>
          <w:sz w:val="24"/>
          <w:szCs w:val="20"/>
          <w:lang w:eastAsia="de-DE"/>
        </w:rPr>
        <w:t>16.</w:t>
      </w:r>
      <w:r>
        <w:rPr>
          <w:rFonts w:ascii="Times New Roman" w:eastAsia="Times New Roman" w:hAnsi="Times New Roman"/>
          <w:sz w:val="24"/>
          <w:szCs w:val="20"/>
          <w:lang w:eastAsia="de-DE"/>
        </w:rPr>
        <w:t>49.9</w:t>
      </w:r>
    </w:p>
    <w:p w:rsidR="00440A87" w:rsidRDefault="00440A87" w:rsidP="00A2507B">
      <w:pPr>
        <w:tabs>
          <w:tab w:val="center" w:pos="4536"/>
          <w:tab w:val="right" w:pos="9072"/>
        </w:tabs>
        <w:rPr>
          <w:rFonts w:ascii="Times New Roman" w:eastAsia="Times New Roman" w:hAnsi="Times New Roman"/>
          <w:sz w:val="24"/>
          <w:szCs w:val="20"/>
          <w:lang w:eastAsia="de-DE"/>
        </w:rPr>
      </w:pPr>
    </w:p>
    <w:p w:rsidR="00A2507B" w:rsidRPr="00A66A9B" w:rsidRDefault="00A2507B" w:rsidP="00A2507B">
      <w:pPr>
        <w:tabs>
          <w:tab w:val="center" w:pos="4536"/>
          <w:tab w:val="right" w:pos="9072"/>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Immissionsschutz;</w:t>
      </w:r>
    </w:p>
    <w:p w:rsidR="00A2507B" w:rsidRDefault="00A2507B" w:rsidP="00A2507B">
      <w:pPr>
        <w:tabs>
          <w:tab w:val="center" w:pos="4536"/>
          <w:tab w:val="right" w:pos="9072"/>
        </w:tabs>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BMW Group Dingolfing, Werk 02.20</w:t>
      </w:r>
    </w:p>
    <w:p w:rsidR="00A2507B" w:rsidRPr="00F46A3D" w:rsidRDefault="00A2507B" w:rsidP="00A2507B">
      <w:pPr>
        <w:pStyle w:val="Kopfzeile"/>
        <w:rPr>
          <w:b/>
          <w:szCs w:val="24"/>
        </w:rPr>
      </w:pPr>
      <w:r>
        <w:rPr>
          <w:b/>
        </w:rPr>
        <w:t>Wesentliche Änderu</w:t>
      </w:r>
      <w:r w:rsidR="00440A87">
        <w:rPr>
          <w:b/>
        </w:rPr>
        <w:t>ng durch Errichtung und Betrieb e</w:t>
      </w:r>
      <w:r w:rsidR="00135319">
        <w:rPr>
          <w:b/>
        </w:rPr>
        <w:t>ine</w:t>
      </w:r>
      <w:r w:rsidR="00615F01">
        <w:rPr>
          <w:b/>
        </w:rPr>
        <w:t>s neuen Gebäudes 110.0 als Entsorgungszentrum</w:t>
      </w:r>
      <w:r w:rsidR="00135319">
        <w:rPr>
          <w:b/>
          <w:szCs w:val="24"/>
        </w:rPr>
        <w:t xml:space="preserve"> Grundstück </w:t>
      </w:r>
      <w:proofErr w:type="spellStart"/>
      <w:r w:rsidR="00135319">
        <w:rPr>
          <w:b/>
          <w:szCs w:val="24"/>
        </w:rPr>
        <w:t>FlNr</w:t>
      </w:r>
      <w:proofErr w:type="spellEnd"/>
      <w:r w:rsidR="00135319">
        <w:rPr>
          <w:b/>
          <w:szCs w:val="24"/>
        </w:rPr>
        <w:t>. 1814/3</w:t>
      </w:r>
      <w:r w:rsidRPr="00F46A3D">
        <w:rPr>
          <w:b/>
          <w:szCs w:val="24"/>
        </w:rPr>
        <w:t xml:space="preserve">, </w:t>
      </w:r>
      <w:proofErr w:type="spellStart"/>
      <w:r w:rsidRPr="00F46A3D">
        <w:rPr>
          <w:b/>
          <w:szCs w:val="24"/>
        </w:rPr>
        <w:t>Gmk</w:t>
      </w:r>
      <w:proofErr w:type="spellEnd"/>
      <w:r w:rsidRPr="00F46A3D">
        <w:rPr>
          <w:b/>
          <w:szCs w:val="24"/>
        </w:rPr>
        <w:t>. Dingolfing</w:t>
      </w: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jc w:val="center"/>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AKTENVERMERK</w:t>
      </w:r>
    </w:p>
    <w:p w:rsidR="00A2507B" w:rsidRPr="00A66A9B" w:rsidRDefault="00A2507B" w:rsidP="00A2507B">
      <w:pPr>
        <w:tabs>
          <w:tab w:val="center" w:pos="4536"/>
          <w:tab w:val="right" w:pos="9072"/>
        </w:tabs>
        <w:jc w:val="center"/>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zur allgemeinen Vorprüfung des Einzelfalles nach dem UVPG</w:t>
      </w:r>
    </w:p>
    <w:p w:rsidR="00A2507B" w:rsidRPr="00A66A9B" w:rsidRDefault="00A2507B" w:rsidP="00A2507B">
      <w:pPr>
        <w:tabs>
          <w:tab w:val="center" w:pos="4536"/>
          <w:tab w:val="right" w:pos="9072"/>
        </w:tabs>
        <w:rPr>
          <w:rFonts w:ascii="Times New Roman" w:eastAsia="Times New Roman" w:hAnsi="Times New Roman"/>
          <w:b/>
          <w:sz w:val="24"/>
          <w:szCs w:val="20"/>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rFonts w:ascii="Times New Roman" w:eastAsia="Times New Roman" w:hAnsi="Times New Roman"/>
          <w:sz w:val="24"/>
          <w:szCs w:val="20"/>
          <w:lang w:eastAsia="de-DE"/>
        </w:rPr>
        <w:t>Prüfwert</w:t>
      </w:r>
      <w:proofErr w:type="spellEnd"/>
      <w:r w:rsidRPr="00A66A9B">
        <w:rPr>
          <w:rFonts w:ascii="Times New Roman" w:eastAsia="Times New Roman" w:hAnsi="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sz w:val="24"/>
          <w:szCs w:val="24"/>
          <w:lang w:eastAsia="de-DE"/>
        </w:rPr>
        <w:t xml:space="preserve"> (§ 9 Abs. 2 Nr. 2 des Gesetzes über die Umweltverträglichkeitsprüfung (UVPG)).</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Nach Ziffer 3.14 des Anhangs zum UVPG ist die Anlage zum Bau und zur Montage von Kraftfahrzeugmotoren mit der Pflicht zu einer allgemeinen Vorprüfung des Einzelfalles („A“) genannt.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b/>
          <w:sz w:val="24"/>
          <w:szCs w:val="24"/>
          <w:lang w:eastAsia="de-DE"/>
        </w:rPr>
      </w:pPr>
      <w:r w:rsidRPr="00A66A9B">
        <w:rPr>
          <w:rFonts w:ascii="Times New Roman" w:eastAsia="Times New Roman" w:hAnsi="Times New Roman"/>
          <w:b/>
          <w:sz w:val="24"/>
          <w:szCs w:val="24"/>
          <w:lang w:eastAsia="de-DE"/>
        </w:rPr>
        <w:t>Es wurde eine allgemeine Vorprüfung durchgeführt.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In den Antragsunterlagen wurden durch die BMW AG die erforderlichen Unterlagen zur Durchführung der Vorprüfung vorgelegt.</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Die Maßnahme wurde nicht nur auf die standortbezogenen Kriterien geprüft (Anlage 3 Ziffer 2 UVPG), sondern auch auf die Art und die Merkmale der möglichen Auswirkungen.</w:t>
      </w:r>
    </w:p>
    <w:p w:rsidR="00A2507B" w:rsidRPr="00A66A9B" w:rsidRDefault="00A2507B" w:rsidP="00A2507B">
      <w:pPr>
        <w:tabs>
          <w:tab w:val="center" w:pos="4536"/>
          <w:tab w:val="right" w:pos="9072"/>
        </w:tabs>
        <w:rPr>
          <w:rFonts w:ascii="Times New Roman" w:eastAsia="Times New Roman" w:hAnsi="Times New Roman"/>
          <w:sz w:val="24"/>
          <w:szCs w:val="24"/>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Im Werk 02.20 werden bereits Kraftfahrzeugmotoren für Elektrofahrzeuge gefertigt. Bisher lag die jährlich produzierte Stückzahl unter der Kapazitätsschwelle nach Ziffer 3.24 des Anhangs 1 zur 4. BImSchV. Aufgrund der zunehmenden Bedeutung der Elektromobilität und freiwerdende</w:t>
      </w:r>
      <w:r w:rsidR="00615F01">
        <w:rPr>
          <w:rFonts w:ascii="Times New Roman" w:eastAsia="Times New Roman" w:hAnsi="Times New Roman"/>
          <w:sz w:val="24"/>
          <w:szCs w:val="20"/>
          <w:lang w:eastAsia="de-DE"/>
        </w:rPr>
        <w:t>r Lagerhallen im Werk 02.20 erfolgt</w:t>
      </w:r>
      <w:r w:rsidRPr="00A66A9B">
        <w:rPr>
          <w:rFonts w:ascii="Times New Roman" w:eastAsia="Times New Roman" w:hAnsi="Times New Roman"/>
          <w:sz w:val="24"/>
          <w:szCs w:val="20"/>
          <w:lang w:eastAsia="de-DE"/>
        </w:rPr>
        <w:t xml:space="preserve"> nun sukzessive ein</w:t>
      </w:r>
      <w:r w:rsidR="00615F01">
        <w:rPr>
          <w:rFonts w:ascii="Times New Roman" w:eastAsia="Times New Roman" w:hAnsi="Times New Roman"/>
          <w:sz w:val="24"/>
          <w:szCs w:val="20"/>
          <w:lang w:eastAsia="de-DE"/>
        </w:rPr>
        <w:t>e Kapazitätserweiterung</w:t>
      </w:r>
      <w:r w:rsidRPr="00A66A9B">
        <w:rPr>
          <w:rFonts w:ascii="Times New Roman" w:eastAsia="Times New Roman" w:hAnsi="Times New Roman"/>
          <w:sz w:val="24"/>
          <w:szCs w:val="20"/>
          <w:lang w:eastAsia="de-DE"/>
        </w:rPr>
        <w:t xml:space="preserve">. Durch die Erhöhung der Stückzahlen auf über 100.000 pro Jahr überschreitet das geänderte Vorhaben erstmals den </w:t>
      </w:r>
      <w:proofErr w:type="spellStart"/>
      <w:r w:rsidRPr="00A66A9B">
        <w:rPr>
          <w:rFonts w:ascii="Times New Roman" w:eastAsia="Times New Roman" w:hAnsi="Times New Roman"/>
          <w:sz w:val="24"/>
          <w:szCs w:val="20"/>
          <w:lang w:eastAsia="de-DE"/>
        </w:rPr>
        <w:t>Prüfwert</w:t>
      </w:r>
      <w:proofErr w:type="spellEnd"/>
      <w:r w:rsidRPr="00A66A9B">
        <w:rPr>
          <w:rFonts w:ascii="Times New Roman" w:eastAsia="Times New Roman" w:hAnsi="Times New Roman"/>
          <w:sz w:val="24"/>
          <w:szCs w:val="20"/>
          <w:lang w:eastAsia="de-DE"/>
        </w:rPr>
        <w:t xml:space="preserve"> für die allgemeine Vorprüfung des Einzelfalles. </w:t>
      </w: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Für dieses Vorhaben läuft das immissionsschutzrechtliche Genehmigungsverfahren, die erforderliche allgemeine Vorprüfung des Einzelfalles wurde durchgeführt.</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Nun wird das Vorhaben vor Abschluss des immissionsschutzrechtlichen Verfahrens wesentlich geändert.</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Folgende Maßnahmen sind vorgesehen:</w:t>
      </w:r>
    </w:p>
    <w:p w:rsidR="00440A87" w:rsidRDefault="00440A87" w:rsidP="0098036F">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Aufgrund steigender Produ</w:t>
      </w:r>
      <w:r w:rsidR="0098036F">
        <w:rPr>
          <w:rFonts w:ascii="Times New Roman" w:eastAsia="Times New Roman" w:hAnsi="Times New Roman"/>
          <w:sz w:val="24"/>
          <w:szCs w:val="20"/>
          <w:lang w:eastAsia="de-DE"/>
        </w:rPr>
        <w:t>ktionsstückzahlen</w:t>
      </w:r>
      <w:r>
        <w:rPr>
          <w:rFonts w:ascii="Times New Roman" w:eastAsia="Times New Roman" w:hAnsi="Times New Roman"/>
          <w:sz w:val="24"/>
          <w:szCs w:val="20"/>
          <w:lang w:eastAsia="de-DE"/>
        </w:rPr>
        <w:t xml:space="preserve"> auf d</w:t>
      </w:r>
      <w:r w:rsidR="0098036F">
        <w:rPr>
          <w:rFonts w:ascii="Times New Roman" w:eastAsia="Times New Roman" w:hAnsi="Times New Roman"/>
          <w:sz w:val="24"/>
          <w:szCs w:val="20"/>
          <w:lang w:eastAsia="de-DE"/>
        </w:rPr>
        <w:t xml:space="preserve">em Gebiet der Elektromobilität und dem damit verbundenen erhöhten Volumen an elektrifizierten Antriebskomponenten (Zellmodul, Hochvoltspeicher und Elektromotoren) </w:t>
      </w:r>
      <w:r w:rsidR="00615F01">
        <w:rPr>
          <w:rFonts w:ascii="Times New Roman" w:eastAsia="Times New Roman" w:hAnsi="Times New Roman"/>
          <w:sz w:val="24"/>
          <w:szCs w:val="20"/>
          <w:lang w:eastAsia="de-DE"/>
        </w:rPr>
        <w:t xml:space="preserve">steigt auch die Menge der entstehenden Abfälle. Diese müssen ordnungsgemäß gelagert bzw. entsorgt werden. Für die zeitweilige Lagerung der Abfälle bis zum Einsammeln wird deshalb ein neues, dreiseitig geschlossenes Entsorgungszentrum benötigt – Geb. 110.0. Die Abfälle werden dort weniger als 1 Jahr gelagert. </w:t>
      </w:r>
    </w:p>
    <w:p w:rsidR="00440A87" w:rsidRDefault="00440A87"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K</w:t>
      </w:r>
      <w:r w:rsidR="0098036F">
        <w:rPr>
          <w:rFonts w:ascii="Times New Roman" w:eastAsia="Times New Roman" w:hAnsi="Times New Roman"/>
          <w:sz w:val="24"/>
          <w:szCs w:val="20"/>
          <w:lang w:eastAsia="de-DE"/>
        </w:rPr>
        <w:t>apazitätsänderungen an der</w:t>
      </w:r>
      <w:r>
        <w:rPr>
          <w:rFonts w:ascii="Times New Roman" w:eastAsia="Times New Roman" w:hAnsi="Times New Roman"/>
          <w:sz w:val="24"/>
          <w:szCs w:val="20"/>
          <w:lang w:eastAsia="de-DE"/>
        </w:rPr>
        <w:t xml:space="preserve"> Gesamtanlage finden nicht statt.</w:t>
      </w:r>
    </w:p>
    <w:p w:rsidR="00615F01" w:rsidRPr="00A66A9B" w:rsidRDefault="00615F01"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lastRenderedPageBreak/>
        <w:t>Eine eigenständige Genehmigungspflicht nach Ziffer 8.12 der 4. BImSchV ergibt sich nicht, da die Abfälle am Entstehungsort bis zum Einsammeln/Abtransport zwischengelagert werden. Allerdings stellt das Entsorgungszentrum eine neue Nebeneinrichtung zur Hauptanlage nach Ziffer 3.24 der 4. BImSchV dar und bedarf daher einer wesentlichen Änderungsgenehmigung.</w:t>
      </w:r>
    </w:p>
    <w:p w:rsidR="00A2507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Diese wesentlichen Änderungen sind erneut im Rahmen einer allgemeinen Vorprüfung nach Art. 9 Abs. 2 Nr. 2 UVPG zu bewerten.</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Der Einwirkungs</w:t>
      </w:r>
      <w:r w:rsidR="00BA5CF5">
        <w:rPr>
          <w:rFonts w:ascii="Times New Roman" w:eastAsia="Times New Roman" w:hAnsi="Times New Roman"/>
          <w:sz w:val="24"/>
          <w:szCs w:val="20"/>
          <w:lang w:eastAsia="de-DE"/>
        </w:rPr>
        <w:t>bereich wurde im Radius von 100</w:t>
      </w:r>
      <w:r w:rsidR="00466DE4">
        <w:rPr>
          <w:rFonts w:ascii="Times New Roman" w:eastAsia="Times New Roman" w:hAnsi="Times New Roman"/>
          <w:sz w:val="24"/>
          <w:szCs w:val="20"/>
          <w:lang w:eastAsia="de-DE"/>
        </w:rPr>
        <w:t>0</w:t>
      </w:r>
      <w:r>
        <w:rPr>
          <w:rFonts w:ascii="Times New Roman" w:eastAsia="Times New Roman" w:hAnsi="Times New Roman"/>
          <w:sz w:val="24"/>
          <w:szCs w:val="20"/>
          <w:lang w:eastAsia="de-DE"/>
        </w:rPr>
        <w:t xml:space="preserve"> m angesetzt (50-fache theoretische Kaminhöhe</w:t>
      </w:r>
      <w:r w:rsidRPr="00A66A9B">
        <w:rPr>
          <w:rFonts w:ascii="Times New Roman" w:eastAsia="Times New Roman" w:hAnsi="Times New Roman"/>
          <w:sz w:val="24"/>
          <w:szCs w:val="20"/>
          <w:lang w:eastAsia="de-DE"/>
        </w:rPr>
        <w:t xml:space="preserve"> nach TA Luft).</w:t>
      </w:r>
    </w:p>
    <w:p w:rsidR="00E02ECC"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Die Änderunge</w:t>
      </w:r>
      <w:r>
        <w:rPr>
          <w:rFonts w:ascii="Times New Roman" w:eastAsia="Times New Roman" w:hAnsi="Times New Roman"/>
          <w:sz w:val="24"/>
          <w:szCs w:val="20"/>
          <w:lang w:eastAsia="de-DE"/>
        </w:rPr>
        <w:t xml:space="preserve">n erfolgen </w:t>
      </w:r>
      <w:r w:rsidRPr="00A66A9B">
        <w:rPr>
          <w:rFonts w:ascii="Times New Roman" w:eastAsia="Times New Roman" w:hAnsi="Times New Roman"/>
          <w:sz w:val="24"/>
          <w:szCs w:val="20"/>
          <w:lang w:eastAsia="de-DE"/>
        </w:rPr>
        <w:t xml:space="preserve">auf dem Betriebsgelände in einem </w:t>
      </w:r>
      <w:r>
        <w:rPr>
          <w:rFonts w:ascii="Times New Roman" w:eastAsia="Times New Roman" w:hAnsi="Times New Roman"/>
          <w:sz w:val="24"/>
          <w:szCs w:val="20"/>
          <w:lang w:eastAsia="de-DE"/>
        </w:rPr>
        <w:t xml:space="preserve">industriell geprägten Gebiet. </w:t>
      </w:r>
      <w:r w:rsidRPr="00A66A9B">
        <w:rPr>
          <w:rFonts w:ascii="Times New Roman" w:eastAsia="Times New Roman" w:hAnsi="Times New Roman"/>
          <w:sz w:val="24"/>
          <w:szCs w:val="20"/>
          <w:lang w:eastAsia="de-DE"/>
        </w:rPr>
        <w:t>Hinsichtlich des Schutzgutes Mensch/Wohnumfeld/Lärm/Verkehr haben die zusätz</w:t>
      </w:r>
      <w:r>
        <w:rPr>
          <w:rFonts w:ascii="Times New Roman" w:eastAsia="Times New Roman" w:hAnsi="Times New Roman"/>
          <w:sz w:val="24"/>
          <w:szCs w:val="20"/>
          <w:lang w:eastAsia="de-DE"/>
        </w:rPr>
        <w:t>lichen Maßnahm</w:t>
      </w:r>
      <w:r w:rsidR="00466DE4">
        <w:rPr>
          <w:rFonts w:ascii="Times New Roman" w:eastAsia="Times New Roman" w:hAnsi="Times New Roman"/>
          <w:sz w:val="24"/>
          <w:szCs w:val="20"/>
          <w:lang w:eastAsia="de-DE"/>
        </w:rPr>
        <w:t>en (</w:t>
      </w:r>
      <w:r w:rsidR="00BA5CF5">
        <w:rPr>
          <w:rFonts w:ascii="Times New Roman" w:eastAsia="Times New Roman" w:hAnsi="Times New Roman"/>
          <w:sz w:val="24"/>
          <w:szCs w:val="20"/>
          <w:lang w:eastAsia="de-DE"/>
        </w:rPr>
        <w:t>neues Gebäude 110.0</w:t>
      </w:r>
      <w:r w:rsidR="00466DE4">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auf</w:t>
      </w:r>
      <w:r>
        <w:rPr>
          <w:rFonts w:ascii="Times New Roman" w:eastAsia="Times New Roman" w:hAnsi="Times New Roman"/>
          <w:sz w:val="24"/>
          <w:szCs w:val="20"/>
          <w:lang w:eastAsia="de-DE"/>
        </w:rPr>
        <w:t>grund der Vorbelastung durch den</w:t>
      </w:r>
      <w:r w:rsidRPr="00A66A9B">
        <w:rPr>
          <w:rFonts w:ascii="Times New Roman" w:eastAsia="Times New Roman" w:hAnsi="Times New Roman"/>
          <w:sz w:val="24"/>
          <w:szCs w:val="20"/>
          <w:lang w:eastAsia="de-DE"/>
        </w:rPr>
        <w:t xml:space="preserve"> bestehende</w:t>
      </w:r>
      <w:r>
        <w:rPr>
          <w:rFonts w:ascii="Times New Roman" w:eastAsia="Times New Roman" w:hAnsi="Times New Roman"/>
          <w:sz w:val="24"/>
          <w:szCs w:val="20"/>
          <w:lang w:eastAsia="de-DE"/>
        </w:rPr>
        <w:t>n</w:t>
      </w:r>
      <w:r w:rsidRPr="00A66A9B">
        <w:rPr>
          <w:rFonts w:ascii="Times New Roman" w:eastAsia="Times New Roman" w:hAnsi="Times New Roman"/>
          <w:sz w:val="24"/>
          <w:szCs w:val="20"/>
          <w:lang w:eastAsia="de-DE"/>
        </w:rPr>
        <w:t xml:space="preserve"> Industri</w:t>
      </w:r>
      <w:r w:rsidR="00E02ECC">
        <w:rPr>
          <w:rFonts w:ascii="Times New Roman" w:eastAsia="Times New Roman" w:hAnsi="Times New Roman"/>
          <w:sz w:val="24"/>
          <w:szCs w:val="20"/>
          <w:lang w:eastAsia="de-DE"/>
        </w:rPr>
        <w:t xml:space="preserve">ebetrieb auf das </w:t>
      </w:r>
      <w:r w:rsidR="00BA5CF5">
        <w:rPr>
          <w:rFonts w:ascii="Times New Roman" w:eastAsia="Times New Roman" w:hAnsi="Times New Roman"/>
          <w:sz w:val="24"/>
          <w:szCs w:val="20"/>
          <w:lang w:eastAsia="de-DE"/>
        </w:rPr>
        <w:t xml:space="preserve">Wohnumfeld keine </w:t>
      </w:r>
      <w:r>
        <w:rPr>
          <w:rFonts w:ascii="Times New Roman" w:eastAsia="Times New Roman" w:hAnsi="Times New Roman"/>
          <w:sz w:val="24"/>
          <w:szCs w:val="20"/>
          <w:lang w:eastAsia="de-DE"/>
        </w:rPr>
        <w:t xml:space="preserve">Auswirkungen. </w:t>
      </w:r>
    </w:p>
    <w:p w:rsidR="009B6A87" w:rsidRDefault="009B6A87"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Es entsteht </w:t>
      </w:r>
      <w:r w:rsidR="00BA5CF5">
        <w:rPr>
          <w:rFonts w:ascii="Times New Roman" w:eastAsia="Times New Roman" w:hAnsi="Times New Roman"/>
          <w:sz w:val="24"/>
          <w:szCs w:val="20"/>
          <w:lang w:eastAsia="de-DE"/>
        </w:rPr>
        <w:t xml:space="preserve">kein </w:t>
      </w:r>
      <w:r>
        <w:rPr>
          <w:rFonts w:ascii="Times New Roman" w:eastAsia="Times New Roman" w:hAnsi="Times New Roman"/>
          <w:sz w:val="24"/>
          <w:szCs w:val="20"/>
          <w:lang w:eastAsia="de-DE"/>
        </w:rPr>
        <w:t>zusätzlicher Anlieferv</w:t>
      </w:r>
      <w:r w:rsidRPr="00A66A9B">
        <w:rPr>
          <w:rFonts w:ascii="Times New Roman" w:eastAsia="Times New Roman" w:hAnsi="Times New Roman"/>
          <w:sz w:val="24"/>
          <w:szCs w:val="20"/>
          <w:lang w:eastAsia="de-DE"/>
        </w:rPr>
        <w:t>erkehr im Vergleich zur</w:t>
      </w:r>
      <w:r>
        <w:rPr>
          <w:rFonts w:ascii="Times New Roman" w:eastAsia="Times New Roman" w:hAnsi="Times New Roman"/>
          <w:sz w:val="24"/>
          <w:szCs w:val="20"/>
          <w:lang w:eastAsia="de-DE"/>
        </w:rPr>
        <w:t xml:space="preserve"> bisherigen Nutzung</w:t>
      </w:r>
      <w:r w:rsidRPr="00A66A9B">
        <w:rPr>
          <w:rFonts w:ascii="Times New Roman" w:eastAsia="Times New Roman" w:hAnsi="Times New Roman"/>
          <w:sz w:val="24"/>
          <w:szCs w:val="20"/>
          <w:lang w:eastAsia="de-DE"/>
        </w:rPr>
        <w:t>.</w:t>
      </w:r>
      <w:r>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Die Schallemissionen</w:t>
      </w:r>
      <w:r>
        <w:rPr>
          <w:rFonts w:ascii="Times New Roman" w:eastAsia="Times New Roman" w:hAnsi="Times New Roman"/>
          <w:sz w:val="24"/>
          <w:szCs w:val="20"/>
          <w:lang w:eastAsia="de-DE"/>
        </w:rPr>
        <w:t xml:space="preserve"> der Anlage tragen zu keiner Erhöhung oder Überschreitung der</w:t>
      </w:r>
      <w:r w:rsidRPr="00A66A9B">
        <w:rPr>
          <w:rFonts w:ascii="Times New Roman" w:eastAsia="Times New Roman" w:hAnsi="Times New Roman"/>
          <w:sz w:val="24"/>
          <w:szCs w:val="20"/>
          <w:lang w:eastAsia="de-DE"/>
        </w:rPr>
        <w:t xml:space="preserve"> </w:t>
      </w:r>
      <w:r>
        <w:rPr>
          <w:rFonts w:ascii="Times New Roman" w:eastAsia="Times New Roman" w:hAnsi="Times New Roman"/>
          <w:sz w:val="24"/>
          <w:szCs w:val="20"/>
          <w:lang w:eastAsia="de-DE"/>
        </w:rPr>
        <w:t xml:space="preserve">zulässigen </w:t>
      </w:r>
      <w:r w:rsidRPr="00A66A9B">
        <w:rPr>
          <w:rFonts w:ascii="Times New Roman" w:eastAsia="Times New Roman" w:hAnsi="Times New Roman"/>
          <w:sz w:val="24"/>
          <w:szCs w:val="20"/>
          <w:lang w:eastAsia="de-DE"/>
        </w:rPr>
        <w:t xml:space="preserve">Richtwerte in der Nachbarschaft bei. </w:t>
      </w:r>
      <w:r w:rsidR="00466DE4">
        <w:rPr>
          <w:rFonts w:ascii="Times New Roman" w:eastAsia="Times New Roman" w:hAnsi="Times New Roman"/>
          <w:sz w:val="24"/>
          <w:szCs w:val="20"/>
          <w:lang w:eastAsia="de-DE"/>
        </w:rPr>
        <w:t>Die Schallauswirkungen wurden prognostiziert.</w:t>
      </w:r>
      <w:r w:rsidR="00FE034D">
        <w:rPr>
          <w:rFonts w:ascii="Times New Roman" w:eastAsia="Times New Roman" w:hAnsi="Times New Roman"/>
          <w:sz w:val="24"/>
          <w:szCs w:val="20"/>
          <w:lang w:eastAsia="de-DE"/>
        </w:rPr>
        <w:t xml:space="preserve"> Die Teilbeurteilungspegel liegen unterhalb der Richtwerte an den Immissionsorten.</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 xml:space="preserve">Im Hinblick auf das Schutzgut Klima/Luft ergeben </w:t>
      </w:r>
      <w:r>
        <w:rPr>
          <w:rFonts w:ascii="Times New Roman" w:eastAsia="Times New Roman" w:hAnsi="Times New Roman"/>
          <w:sz w:val="24"/>
          <w:szCs w:val="20"/>
          <w:lang w:eastAsia="de-DE"/>
        </w:rPr>
        <w:t xml:space="preserve">sich ebenfalls keine </w:t>
      </w:r>
      <w:r w:rsidRPr="00A66A9B">
        <w:rPr>
          <w:rFonts w:ascii="Times New Roman" w:eastAsia="Times New Roman" w:hAnsi="Times New Roman"/>
          <w:sz w:val="24"/>
          <w:szCs w:val="20"/>
          <w:lang w:eastAsia="de-DE"/>
        </w:rPr>
        <w:t>nachteilige</w:t>
      </w:r>
      <w:r>
        <w:rPr>
          <w:rFonts w:ascii="Times New Roman" w:eastAsia="Times New Roman" w:hAnsi="Times New Roman"/>
          <w:sz w:val="24"/>
          <w:szCs w:val="20"/>
          <w:lang w:eastAsia="de-DE"/>
        </w:rPr>
        <w:t>n</w:t>
      </w:r>
      <w:r w:rsidRPr="00A66A9B">
        <w:rPr>
          <w:rFonts w:ascii="Times New Roman" w:eastAsia="Times New Roman" w:hAnsi="Times New Roman"/>
          <w:sz w:val="24"/>
          <w:szCs w:val="20"/>
          <w:lang w:eastAsia="de-DE"/>
        </w:rPr>
        <w:t xml:space="preserve"> Umweltauswirkungen. Eine geographische Kessellage des Standortes ist nicht gegeben. Der Standort ist gut durchlüftet. Es sind keine natürlichen Hindernisse vorhanden, die ein Aufstauen der Emissionen verursachen würden. Das auf dem südwestlichen Teil des Geländes errichtete Hochregallager stellt kein Hindernis dar, da es sich nicht im unmittelbaren Bereich von Emittenten befindet und die Längsseite des Gebäudes in Richtung der Durchstromrichtung (West-Ost) ausgerichtet ist.</w:t>
      </w:r>
      <w:r w:rsidR="00FE034D">
        <w:rPr>
          <w:rFonts w:ascii="Times New Roman" w:eastAsia="Times New Roman" w:hAnsi="Times New Roman"/>
          <w:sz w:val="24"/>
          <w:szCs w:val="20"/>
          <w:lang w:eastAsia="de-DE"/>
        </w:rPr>
        <w:t xml:space="preserve"> Schädliche E</w:t>
      </w:r>
      <w:r w:rsidR="00466DE4">
        <w:rPr>
          <w:rFonts w:ascii="Times New Roman" w:eastAsia="Times New Roman" w:hAnsi="Times New Roman"/>
          <w:sz w:val="24"/>
          <w:szCs w:val="20"/>
          <w:lang w:eastAsia="de-DE"/>
        </w:rPr>
        <w:t xml:space="preserve">missionen </w:t>
      </w:r>
      <w:r w:rsidR="00EA7DEF">
        <w:rPr>
          <w:rFonts w:ascii="Times New Roman" w:eastAsia="Times New Roman" w:hAnsi="Times New Roman"/>
          <w:sz w:val="24"/>
          <w:szCs w:val="20"/>
          <w:lang w:eastAsia="de-DE"/>
        </w:rPr>
        <w:t xml:space="preserve">hinsichtlich der Luftreinhaltung </w:t>
      </w:r>
      <w:r w:rsidR="009D608C">
        <w:rPr>
          <w:rFonts w:ascii="Times New Roman" w:eastAsia="Times New Roman" w:hAnsi="Times New Roman"/>
          <w:sz w:val="24"/>
          <w:szCs w:val="20"/>
          <w:lang w:eastAsia="de-DE"/>
        </w:rPr>
        <w:t xml:space="preserve">(Geruch, Staub) </w:t>
      </w:r>
      <w:r w:rsidR="00466DE4">
        <w:rPr>
          <w:rFonts w:ascii="Times New Roman" w:eastAsia="Times New Roman" w:hAnsi="Times New Roman"/>
          <w:sz w:val="24"/>
          <w:szCs w:val="20"/>
          <w:lang w:eastAsia="de-DE"/>
        </w:rPr>
        <w:t>aus der neuen Halle</w:t>
      </w:r>
      <w:r w:rsidR="009D608C">
        <w:rPr>
          <w:rFonts w:ascii="Times New Roman" w:eastAsia="Times New Roman" w:hAnsi="Times New Roman"/>
          <w:sz w:val="24"/>
          <w:szCs w:val="20"/>
          <w:lang w:eastAsia="de-DE"/>
        </w:rPr>
        <w:t xml:space="preserve"> Geb. 110.0</w:t>
      </w:r>
      <w:r w:rsidR="00466DE4">
        <w:rPr>
          <w:rFonts w:ascii="Times New Roman" w:eastAsia="Times New Roman" w:hAnsi="Times New Roman"/>
          <w:sz w:val="24"/>
          <w:szCs w:val="20"/>
          <w:lang w:eastAsia="de-DE"/>
        </w:rPr>
        <w:t xml:space="preserve"> sind nicht vorhanden </w:t>
      </w:r>
    </w:p>
    <w:p w:rsidR="00A2507B" w:rsidRPr="00A66A9B" w:rsidRDefault="00A2507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Das Grundwasser wird mit der Reali</w:t>
      </w:r>
      <w:r w:rsidR="00466DE4">
        <w:rPr>
          <w:rFonts w:ascii="Times New Roman" w:eastAsia="Times New Roman" w:hAnsi="Times New Roman"/>
          <w:sz w:val="24"/>
          <w:szCs w:val="20"/>
          <w:lang w:eastAsia="de-DE"/>
        </w:rPr>
        <w:t>sierung des Projektes</w:t>
      </w:r>
      <w:r>
        <w:rPr>
          <w:rFonts w:ascii="Times New Roman" w:eastAsia="Times New Roman" w:hAnsi="Times New Roman"/>
          <w:sz w:val="24"/>
          <w:szCs w:val="20"/>
          <w:lang w:eastAsia="de-DE"/>
        </w:rPr>
        <w:t xml:space="preserve"> </w:t>
      </w:r>
      <w:r w:rsidR="009D608C">
        <w:rPr>
          <w:rFonts w:ascii="Times New Roman" w:eastAsia="Times New Roman" w:hAnsi="Times New Roman"/>
          <w:sz w:val="24"/>
          <w:szCs w:val="20"/>
          <w:lang w:eastAsia="de-DE"/>
        </w:rPr>
        <w:t xml:space="preserve">nicht </w:t>
      </w:r>
      <w:r>
        <w:rPr>
          <w:rFonts w:ascii="Times New Roman" w:eastAsia="Times New Roman" w:hAnsi="Times New Roman"/>
          <w:sz w:val="24"/>
          <w:szCs w:val="20"/>
          <w:lang w:eastAsia="de-DE"/>
        </w:rPr>
        <w:t>berührt.</w:t>
      </w:r>
      <w:r w:rsidR="00466DE4">
        <w:rPr>
          <w:rFonts w:ascii="Times New Roman" w:eastAsia="Times New Roman" w:hAnsi="Times New Roman"/>
          <w:sz w:val="24"/>
          <w:szCs w:val="20"/>
          <w:lang w:eastAsia="de-DE"/>
        </w:rPr>
        <w:t xml:space="preserve"> Die Einbringung der Fundamente und die Bodenverbesserungsmaßnahmen</w:t>
      </w:r>
      <w:r w:rsidR="009D608C">
        <w:rPr>
          <w:rFonts w:ascii="Times New Roman" w:eastAsia="Times New Roman" w:hAnsi="Times New Roman"/>
          <w:sz w:val="24"/>
          <w:szCs w:val="20"/>
          <w:lang w:eastAsia="de-DE"/>
        </w:rPr>
        <w:t xml:space="preserve"> für die Gebäude stellen keine bzw. allenfalls geringe </w:t>
      </w:r>
      <w:r w:rsidR="00466DE4">
        <w:rPr>
          <w:rFonts w:ascii="Times New Roman" w:eastAsia="Times New Roman" w:hAnsi="Times New Roman"/>
          <w:sz w:val="24"/>
          <w:szCs w:val="20"/>
          <w:lang w:eastAsia="de-DE"/>
        </w:rPr>
        <w:t xml:space="preserve">Auswirkungen </w:t>
      </w:r>
      <w:r w:rsidR="009D608C">
        <w:rPr>
          <w:rFonts w:ascii="Times New Roman" w:eastAsia="Times New Roman" w:hAnsi="Times New Roman"/>
          <w:sz w:val="24"/>
          <w:szCs w:val="20"/>
          <w:lang w:eastAsia="de-DE"/>
        </w:rPr>
        <w:t xml:space="preserve">auf das Schutzgut Wasser dar. Ein wasserrechtliches Erlaubnisverfahren ist nicht erforderlich. Die Niederschlagsentwässerung erfolgt über das </w:t>
      </w:r>
      <w:proofErr w:type="spellStart"/>
      <w:r w:rsidR="009D608C">
        <w:rPr>
          <w:rFonts w:ascii="Times New Roman" w:eastAsia="Times New Roman" w:hAnsi="Times New Roman"/>
          <w:sz w:val="24"/>
          <w:szCs w:val="20"/>
          <w:lang w:eastAsia="de-DE"/>
        </w:rPr>
        <w:t>Gründach</w:t>
      </w:r>
      <w:proofErr w:type="spellEnd"/>
      <w:r w:rsidR="009D608C">
        <w:rPr>
          <w:rFonts w:ascii="Times New Roman" w:eastAsia="Times New Roman" w:hAnsi="Times New Roman"/>
          <w:sz w:val="24"/>
          <w:szCs w:val="20"/>
          <w:lang w:eastAsia="de-DE"/>
        </w:rPr>
        <w:t xml:space="preserve"> bzw. die bereits wasserrechtlich genehmigte Rigole.</w:t>
      </w:r>
    </w:p>
    <w:p w:rsidR="00A2507B" w:rsidRDefault="00A2507B"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Im betreffenden Gebiet ist bereits eine weitgehende Bebauung und somit eine hohe Versiegelung vorhanden. </w:t>
      </w:r>
      <w:r w:rsidRPr="0049192D">
        <w:rPr>
          <w:rFonts w:ascii="Times New Roman" w:eastAsia="Times New Roman" w:hAnsi="Times New Roman"/>
          <w:sz w:val="24"/>
          <w:szCs w:val="20"/>
          <w:lang w:eastAsia="de-DE"/>
        </w:rPr>
        <w:t>D</w:t>
      </w:r>
      <w:r w:rsidR="009D608C">
        <w:rPr>
          <w:rFonts w:ascii="Times New Roman" w:eastAsia="Times New Roman" w:hAnsi="Times New Roman"/>
          <w:sz w:val="24"/>
          <w:szCs w:val="20"/>
          <w:lang w:eastAsia="de-DE"/>
        </w:rPr>
        <w:t>as neue Gebäude 110.0</w:t>
      </w:r>
      <w:r w:rsidR="00466DE4" w:rsidRPr="0049192D">
        <w:rPr>
          <w:rFonts w:ascii="Times New Roman" w:eastAsia="Times New Roman" w:hAnsi="Times New Roman"/>
          <w:sz w:val="24"/>
          <w:szCs w:val="20"/>
          <w:lang w:eastAsia="de-DE"/>
        </w:rPr>
        <w:t xml:space="preserve"> </w:t>
      </w:r>
      <w:r w:rsidR="0049192D" w:rsidRPr="0049192D">
        <w:rPr>
          <w:rFonts w:ascii="Times New Roman" w:eastAsia="Times New Roman" w:hAnsi="Times New Roman"/>
          <w:sz w:val="24"/>
          <w:szCs w:val="20"/>
          <w:lang w:eastAsia="de-DE"/>
        </w:rPr>
        <w:t xml:space="preserve">soll </w:t>
      </w:r>
      <w:r w:rsidR="00E02ECC" w:rsidRPr="0049192D">
        <w:rPr>
          <w:rFonts w:ascii="Times New Roman" w:eastAsia="Times New Roman" w:hAnsi="Times New Roman"/>
          <w:sz w:val="24"/>
          <w:szCs w:val="20"/>
          <w:lang w:eastAsia="de-DE"/>
        </w:rPr>
        <w:t xml:space="preserve">mit einem </w:t>
      </w:r>
      <w:proofErr w:type="spellStart"/>
      <w:r w:rsidR="00E02ECC" w:rsidRPr="0049192D">
        <w:rPr>
          <w:rFonts w:ascii="Times New Roman" w:eastAsia="Times New Roman" w:hAnsi="Times New Roman"/>
          <w:sz w:val="24"/>
          <w:szCs w:val="20"/>
          <w:lang w:eastAsia="de-DE"/>
        </w:rPr>
        <w:t>Gründach</w:t>
      </w:r>
      <w:proofErr w:type="spellEnd"/>
      <w:r w:rsidR="00E02ECC" w:rsidRPr="0049192D">
        <w:rPr>
          <w:rFonts w:ascii="Times New Roman" w:eastAsia="Times New Roman" w:hAnsi="Times New Roman"/>
          <w:sz w:val="24"/>
          <w:szCs w:val="20"/>
          <w:lang w:eastAsia="de-DE"/>
        </w:rPr>
        <w:t xml:space="preserve"> versehen</w:t>
      </w:r>
      <w:r w:rsidR="0049192D" w:rsidRPr="0049192D">
        <w:rPr>
          <w:rFonts w:ascii="Times New Roman" w:eastAsia="Times New Roman" w:hAnsi="Times New Roman"/>
          <w:sz w:val="24"/>
          <w:szCs w:val="20"/>
          <w:lang w:eastAsia="de-DE"/>
        </w:rPr>
        <w:t xml:space="preserve"> werden</w:t>
      </w:r>
      <w:r w:rsidRPr="0049192D">
        <w:rPr>
          <w:rFonts w:ascii="Times New Roman" w:eastAsia="Times New Roman" w:hAnsi="Times New Roman"/>
          <w:sz w:val="24"/>
          <w:szCs w:val="20"/>
          <w:lang w:eastAsia="de-DE"/>
        </w:rPr>
        <w:t xml:space="preserve">. </w:t>
      </w: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 xml:space="preserve">Auswirkungen auf </w:t>
      </w:r>
      <w:r>
        <w:rPr>
          <w:rFonts w:ascii="Times New Roman" w:eastAsia="Times New Roman" w:hAnsi="Times New Roman"/>
          <w:sz w:val="24"/>
          <w:szCs w:val="20"/>
          <w:lang w:eastAsia="de-DE"/>
        </w:rPr>
        <w:t xml:space="preserve">Landschaft, Pflanzen und Tiere </w:t>
      </w:r>
      <w:r w:rsidRPr="00A66A9B">
        <w:rPr>
          <w:rFonts w:ascii="Times New Roman" w:eastAsia="Times New Roman" w:hAnsi="Times New Roman"/>
          <w:sz w:val="24"/>
          <w:szCs w:val="20"/>
          <w:lang w:eastAsia="de-DE"/>
        </w:rPr>
        <w:t xml:space="preserve">sind nicht zu erwarten. Die zusätzlichen Anlagen werden in einem bestehenden und </w:t>
      </w:r>
      <w:r>
        <w:rPr>
          <w:rFonts w:ascii="Times New Roman" w:eastAsia="Times New Roman" w:hAnsi="Times New Roman"/>
          <w:sz w:val="24"/>
          <w:szCs w:val="20"/>
          <w:lang w:eastAsia="de-DE"/>
        </w:rPr>
        <w:t xml:space="preserve">weitgehend </w:t>
      </w:r>
      <w:r w:rsidR="00E02ECC">
        <w:rPr>
          <w:rFonts w:ascii="Times New Roman" w:eastAsia="Times New Roman" w:hAnsi="Times New Roman"/>
          <w:sz w:val="24"/>
          <w:szCs w:val="20"/>
          <w:lang w:eastAsia="de-DE"/>
        </w:rPr>
        <w:t>versiegelten Industriegelände errichtet und betrieben</w:t>
      </w:r>
      <w:r w:rsidRPr="00A66A9B">
        <w:rPr>
          <w:rFonts w:ascii="Times New Roman" w:eastAsia="Times New Roman" w:hAnsi="Times New Roman"/>
          <w:sz w:val="24"/>
          <w:szCs w:val="20"/>
          <w:lang w:eastAsia="de-DE"/>
        </w:rPr>
        <w:t>. Das äußere Erscheinungsbild des bestehende</w:t>
      </w:r>
      <w:r>
        <w:rPr>
          <w:rFonts w:ascii="Times New Roman" w:eastAsia="Times New Roman" w:hAnsi="Times New Roman"/>
          <w:sz w:val="24"/>
          <w:szCs w:val="20"/>
          <w:lang w:eastAsia="de-DE"/>
        </w:rPr>
        <w:t xml:space="preserve">n Industriegeländes wird nicht </w:t>
      </w:r>
      <w:r w:rsidR="009D608C">
        <w:rPr>
          <w:rFonts w:ascii="Times New Roman" w:eastAsia="Times New Roman" w:hAnsi="Times New Roman"/>
          <w:sz w:val="24"/>
          <w:szCs w:val="20"/>
          <w:lang w:eastAsia="de-DE"/>
        </w:rPr>
        <w:t>nennenswert verändert; e</w:t>
      </w:r>
      <w:r w:rsidR="00E02ECC">
        <w:rPr>
          <w:rFonts w:ascii="Times New Roman" w:eastAsia="Times New Roman" w:hAnsi="Times New Roman"/>
          <w:sz w:val="24"/>
          <w:szCs w:val="20"/>
          <w:lang w:eastAsia="de-DE"/>
        </w:rPr>
        <w:t xml:space="preserve">s ergeben sich </w:t>
      </w:r>
      <w:r w:rsidRPr="00A66A9B">
        <w:rPr>
          <w:rFonts w:ascii="Times New Roman" w:eastAsia="Times New Roman" w:hAnsi="Times New Roman"/>
          <w:sz w:val="24"/>
          <w:szCs w:val="20"/>
          <w:lang w:eastAsia="de-DE"/>
        </w:rPr>
        <w:t>keine Auswirkungen auf das Landschaftsbild</w:t>
      </w:r>
      <w:r w:rsidR="00E02ECC">
        <w:rPr>
          <w:rFonts w:ascii="Times New Roman" w:eastAsia="Times New Roman" w:hAnsi="Times New Roman"/>
          <w:sz w:val="24"/>
          <w:szCs w:val="20"/>
          <w:lang w:eastAsia="de-DE"/>
        </w:rPr>
        <w:t>, das bereits durch die vorhandene Industriebebauung geprägt ist.</w:t>
      </w:r>
    </w:p>
    <w:p w:rsidR="009B6A87" w:rsidRDefault="009B6A87"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Das Vorhaben hat keine Auswirkungen auf das FFH-Gebiet „Königsauer Moos“, das nördlich außerhalb des Betrachtungsradius liegt.</w:t>
      </w:r>
    </w:p>
    <w:p w:rsidR="0072537C" w:rsidRDefault="0072537C"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Auch nach Aussage der Fachkraft für Naturschutz sind keine naturschutzfachlichen negativen Auswirkungen zu erwarten. Seltene Tier-und Pflanzenarten sind auf dem Industriegelände nicht vorhanden. Die Fläche ist bereits versiegelt, eine zusätzliche Bodenversiegelung durch das neue Gebäude erfolgt nicht. Die Werksgrenzen werden nicht erweitert.</w:t>
      </w:r>
    </w:p>
    <w:p w:rsidR="00E02ECC" w:rsidRDefault="00E02ECC" w:rsidP="00A2507B">
      <w:pPr>
        <w:tabs>
          <w:tab w:val="left" w:pos="426"/>
          <w:tab w:val="left" w:pos="851"/>
        </w:tabs>
        <w:rPr>
          <w:rFonts w:ascii="Times New Roman" w:eastAsia="Times New Roman" w:hAnsi="Times New Roman"/>
          <w:sz w:val="24"/>
          <w:szCs w:val="20"/>
          <w:lang w:eastAsia="de-DE"/>
        </w:rPr>
      </w:pPr>
    </w:p>
    <w:p w:rsidR="0049192D" w:rsidRDefault="009D608C" w:rsidP="0072537C">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Im Entsorgungszentrum werden die in der Produktion entstehenden Abfälle im Werk 02.20 zwischengelagert, bis sie ordnungsgemäß verwertet bzw. </w:t>
      </w:r>
      <w:r w:rsidR="0049192D">
        <w:rPr>
          <w:rFonts w:ascii="Times New Roman" w:eastAsia="Times New Roman" w:hAnsi="Times New Roman"/>
          <w:sz w:val="24"/>
          <w:szCs w:val="20"/>
          <w:lang w:eastAsia="de-DE"/>
        </w:rPr>
        <w:t>an</w:t>
      </w:r>
      <w:r>
        <w:rPr>
          <w:rFonts w:ascii="Times New Roman" w:eastAsia="Times New Roman" w:hAnsi="Times New Roman"/>
          <w:sz w:val="24"/>
          <w:szCs w:val="20"/>
          <w:lang w:eastAsia="de-DE"/>
        </w:rPr>
        <w:t xml:space="preserve"> den jeweiligen Entsorger zur ordnungsgemäßen Entsorgung übergeben werden</w:t>
      </w:r>
      <w:r w:rsidR="0072537C">
        <w:rPr>
          <w:rFonts w:ascii="Times New Roman" w:eastAsia="Times New Roman" w:hAnsi="Times New Roman"/>
          <w:sz w:val="24"/>
          <w:szCs w:val="20"/>
          <w:lang w:eastAsia="de-DE"/>
        </w:rPr>
        <w:t xml:space="preserve">. Die ordnungsgemäße Lagerung wird </w:t>
      </w:r>
      <w:r w:rsidR="0072537C">
        <w:rPr>
          <w:rFonts w:ascii="Times New Roman" w:eastAsia="Times New Roman" w:hAnsi="Times New Roman"/>
          <w:sz w:val="24"/>
          <w:szCs w:val="20"/>
          <w:lang w:eastAsia="de-DE"/>
        </w:rPr>
        <w:lastRenderedPageBreak/>
        <w:t>sichergestellt. Es sind überall in den Hallen dichte Bodenplatten verbaut. Stoffeinträge in den Boden oder das Grundwasser werden so verhindert.</w:t>
      </w:r>
    </w:p>
    <w:p w:rsidR="00D16B8B" w:rsidRPr="00A66A9B" w:rsidRDefault="00D16B8B" w:rsidP="00A2507B">
      <w:pPr>
        <w:tabs>
          <w:tab w:val="left" w:pos="426"/>
          <w:tab w:val="left" w:pos="851"/>
        </w:tabs>
        <w:rPr>
          <w:rFonts w:ascii="Times New Roman" w:eastAsia="Times New Roman" w:hAnsi="Times New Roman"/>
          <w:sz w:val="24"/>
          <w:szCs w:val="20"/>
          <w:lang w:eastAsia="de-DE"/>
        </w:rPr>
      </w:pPr>
    </w:p>
    <w:p w:rsidR="00A2507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Eine umfassende Umweltverträglichkeitsprüfung ist für das Änderungsvorhaben somit nicht erforderlich.</w:t>
      </w:r>
      <w:r>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Die Entscheidung wird</w:t>
      </w:r>
      <w:r>
        <w:rPr>
          <w:rFonts w:ascii="Times New Roman" w:eastAsia="Times New Roman" w:hAnsi="Times New Roman"/>
          <w:sz w:val="24"/>
          <w:szCs w:val="20"/>
          <w:lang w:eastAsia="de-DE"/>
        </w:rPr>
        <w:t xml:space="preserve"> hiermit </w:t>
      </w:r>
      <w:r w:rsidRPr="00A66A9B">
        <w:rPr>
          <w:rFonts w:ascii="Times New Roman" w:eastAsia="Times New Roman" w:hAnsi="Times New Roman"/>
          <w:sz w:val="24"/>
          <w:szCs w:val="20"/>
          <w:lang w:eastAsia="de-DE"/>
        </w:rPr>
        <w:t xml:space="preserve">im </w:t>
      </w:r>
      <w:proofErr w:type="spellStart"/>
      <w:r w:rsidRPr="00A66A9B">
        <w:rPr>
          <w:rFonts w:ascii="Times New Roman" w:eastAsia="Times New Roman" w:hAnsi="Times New Roman"/>
          <w:sz w:val="24"/>
          <w:szCs w:val="20"/>
          <w:lang w:eastAsia="de-DE"/>
        </w:rPr>
        <w:t>UVP-Portal</w:t>
      </w:r>
      <w:proofErr w:type="spellEnd"/>
      <w:r w:rsidRPr="00A66A9B">
        <w:rPr>
          <w:rFonts w:ascii="Times New Roman" w:eastAsia="Times New Roman" w:hAnsi="Times New Roman"/>
          <w:sz w:val="24"/>
          <w:szCs w:val="20"/>
          <w:lang w:eastAsia="de-DE"/>
        </w:rPr>
        <w:t xml:space="preserve"> Bayern öffentlich bekanntgemacht (§ 5 Abs. 2 UVPG).</w:t>
      </w:r>
    </w:p>
    <w:p w:rsidR="00332501" w:rsidRDefault="00332501" w:rsidP="00A2507B">
      <w:pPr>
        <w:tabs>
          <w:tab w:val="left" w:pos="426"/>
          <w:tab w:val="left" w:pos="851"/>
        </w:tabs>
        <w:rPr>
          <w:rFonts w:ascii="Times New Roman" w:eastAsia="Times New Roman" w:hAnsi="Times New Roman"/>
          <w:sz w:val="24"/>
          <w:szCs w:val="20"/>
          <w:lang w:eastAsia="de-DE"/>
        </w:rPr>
      </w:pPr>
    </w:p>
    <w:p w:rsidR="00332501" w:rsidRPr="00A66A9B" w:rsidRDefault="00332501"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Nähere Informationen erhalten Sie beim Landratsam</w:t>
      </w:r>
      <w:r w:rsidR="00EA7DEF">
        <w:rPr>
          <w:rFonts w:ascii="Times New Roman" w:eastAsia="Times New Roman" w:hAnsi="Times New Roman"/>
          <w:sz w:val="24"/>
          <w:szCs w:val="20"/>
          <w:lang w:eastAsia="de-DE"/>
        </w:rPr>
        <w:t xml:space="preserve">t Dingolfing-Landau unter Tel.: </w:t>
      </w:r>
      <w:r w:rsidRPr="00A66A9B">
        <w:rPr>
          <w:rFonts w:ascii="Times New Roman" w:eastAsia="Times New Roman" w:hAnsi="Times New Roman"/>
          <w:sz w:val="24"/>
          <w:szCs w:val="20"/>
          <w:lang w:eastAsia="de-DE"/>
        </w:rPr>
        <w:t>08731/87-224</w:t>
      </w:r>
    </w:p>
    <w:p w:rsidR="008341A7" w:rsidRDefault="008341A7" w:rsidP="00A2507B">
      <w:pPr>
        <w:tabs>
          <w:tab w:val="left" w:pos="426"/>
          <w:tab w:val="left" w:pos="851"/>
        </w:tabs>
        <w:rPr>
          <w:rFonts w:ascii="Times New Roman" w:eastAsia="Times New Roman" w:hAnsi="Times New Roman"/>
          <w:sz w:val="24"/>
          <w:szCs w:val="20"/>
          <w:lang w:eastAsia="de-DE"/>
        </w:rPr>
      </w:pPr>
    </w:p>
    <w:p w:rsidR="008341A7" w:rsidRDefault="008341A7" w:rsidP="00A2507B">
      <w:pPr>
        <w:tabs>
          <w:tab w:val="left" w:pos="426"/>
          <w:tab w:val="left" w:pos="851"/>
        </w:tabs>
        <w:rPr>
          <w:rFonts w:ascii="Times New Roman" w:eastAsia="Times New Roman" w:hAnsi="Times New Roman"/>
          <w:sz w:val="24"/>
          <w:szCs w:val="20"/>
          <w:lang w:eastAsia="de-DE"/>
        </w:rPr>
      </w:pPr>
    </w:p>
    <w:p w:rsidR="008341A7" w:rsidRPr="00A66A9B" w:rsidRDefault="008341A7"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Landratsamt Dingolfing-Landau - SG 42</w:t>
      </w:r>
    </w:p>
    <w:p w:rsidR="00A2507B" w:rsidRDefault="00EA7DEF" w:rsidP="00A2507B">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Dingolfing</w:t>
      </w:r>
      <w:bookmarkStart w:id="0" w:name="_GoBack"/>
      <w:bookmarkEnd w:id="0"/>
      <w:r>
        <w:rPr>
          <w:rFonts w:ascii="Times New Roman" w:eastAsia="Times New Roman" w:hAnsi="Times New Roman"/>
          <w:sz w:val="24"/>
          <w:szCs w:val="20"/>
          <w:lang w:eastAsia="de-DE"/>
        </w:rPr>
        <w:t>, 10.05.</w:t>
      </w:r>
      <w:r w:rsidR="00070172">
        <w:rPr>
          <w:rFonts w:ascii="Times New Roman" w:eastAsia="Times New Roman" w:hAnsi="Times New Roman"/>
          <w:sz w:val="24"/>
          <w:szCs w:val="20"/>
          <w:lang w:eastAsia="de-DE"/>
        </w:rPr>
        <w:t>2023</w:t>
      </w:r>
    </w:p>
    <w:p w:rsidR="00A2507B" w:rsidRDefault="00A2507B" w:rsidP="00A2507B">
      <w:pPr>
        <w:tabs>
          <w:tab w:val="left" w:pos="426"/>
          <w:tab w:val="left" w:pos="851"/>
        </w:tabs>
        <w:rPr>
          <w:rFonts w:ascii="Times New Roman" w:eastAsia="Times New Roman" w:hAnsi="Times New Roman"/>
          <w:sz w:val="24"/>
          <w:szCs w:val="20"/>
          <w:lang w:eastAsia="de-DE"/>
        </w:rPr>
      </w:pPr>
    </w:p>
    <w:p w:rsidR="00E02ECC" w:rsidRDefault="00E02ECC" w:rsidP="00A2507B">
      <w:pPr>
        <w:tabs>
          <w:tab w:val="left" w:pos="426"/>
          <w:tab w:val="left" w:pos="851"/>
        </w:tabs>
        <w:rPr>
          <w:rFonts w:ascii="Times New Roman" w:eastAsia="Times New Roman" w:hAnsi="Times New Roman"/>
          <w:sz w:val="24"/>
          <w:szCs w:val="20"/>
          <w:lang w:eastAsia="de-DE"/>
        </w:rPr>
      </w:pPr>
    </w:p>
    <w:p w:rsidR="00E02ECC" w:rsidRPr="00A66A9B" w:rsidRDefault="00E02ECC" w:rsidP="00A2507B">
      <w:pPr>
        <w:tabs>
          <w:tab w:val="left" w:pos="426"/>
          <w:tab w:val="left" w:pos="851"/>
        </w:tabs>
        <w:rPr>
          <w:rFonts w:ascii="Times New Roman" w:eastAsia="Times New Roman" w:hAnsi="Times New Roman"/>
          <w:sz w:val="24"/>
          <w:szCs w:val="20"/>
          <w:lang w:eastAsia="de-DE"/>
        </w:rPr>
      </w:pPr>
    </w:p>
    <w:p w:rsidR="00A2507B" w:rsidRPr="00A66A9B" w:rsidRDefault="00A2507B" w:rsidP="00A2507B">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Kerstin Kameter-Schenkl</w:t>
      </w:r>
    </w:p>
    <w:p w:rsidR="005E62FC" w:rsidRDefault="005E62FC"/>
    <w:sectPr w:rsidR="005E6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7B"/>
    <w:rsid w:val="00070172"/>
    <w:rsid w:val="000B554E"/>
    <w:rsid w:val="00135319"/>
    <w:rsid w:val="00153D1E"/>
    <w:rsid w:val="001D7755"/>
    <w:rsid w:val="00332501"/>
    <w:rsid w:val="00440A87"/>
    <w:rsid w:val="00466DE4"/>
    <w:rsid w:val="0049192D"/>
    <w:rsid w:val="005E62FC"/>
    <w:rsid w:val="00615F01"/>
    <w:rsid w:val="0072537C"/>
    <w:rsid w:val="008341A7"/>
    <w:rsid w:val="008409C2"/>
    <w:rsid w:val="008D6C06"/>
    <w:rsid w:val="00906DC7"/>
    <w:rsid w:val="00965D72"/>
    <w:rsid w:val="00974BAA"/>
    <w:rsid w:val="0098036F"/>
    <w:rsid w:val="0098770C"/>
    <w:rsid w:val="009B6A87"/>
    <w:rsid w:val="009C1713"/>
    <w:rsid w:val="009D608C"/>
    <w:rsid w:val="00A2507B"/>
    <w:rsid w:val="00AC613F"/>
    <w:rsid w:val="00B12F35"/>
    <w:rsid w:val="00BA50FD"/>
    <w:rsid w:val="00BA5CF5"/>
    <w:rsid w:val="00BC7203"/>
    <w:rsid w:val="00C425D7"/>
    <w:rsid w:val="00D16B8B"/>
    <w:rsid w:val="00D42BC3"/>
    <w:rsid w:val="00DC5506"/>
    <w:rsid w:val="00E02ECC"/>
    <w:rsid w:val="00EA7DEF"/>
    <w:rsid w:val="00EE6F1E"/>
    <w:rsid w:val="00EE7823"/>
    <w:rsid w:val="00FE0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CAA1C"/>
  <w15:chartTrackingRefBased/>
  <w15:docId w15:val="{D5C0806A-8A61-4177-8B97-23396C33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507B"/>
    <w:rPr>
      <w:rFonts w:ascii="Arial" w:eastAsia="Calibri"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507B"/>
    <w:pPr>
      <w:tabs>
        <w:tab w:val="center" w:pos="4536"/>
        <w:tab w:val="right" w:pos="9072"/>
      </w:tabs>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rsid w:val="00A2507B"/>
    <w:rPr>
      <w:sz w:val="24"/>
    </w:rPr>
  </w:style>
  <w:style w:type="paragraph" w:styleId="Sprechblasentext">
    <w:name w:val="Balloon Text"/>
    <w:basedOn w:val="Standard"/>
    <w:link w:val="SprechblasentextZchn"/>
    <w:rsid w:val="00332501"/>
    <w:rPr>
      <w:rFonts w:ascii="Segoe UI" w:hAnsi="Segoe UI" w:cs="Segoe UI"/>
      <w:sz w:val="18"/>
      <w:szCs w:val="18"/>
    </w:rPr>
  </w:style>
  <w:style w:type="character" w:customStyle="1" w:styleId="SprechblasentextZchn">
    <w:name w:val="Sprechblasentext Zchn"/>
    <w:basedOn w:val="Absatz-Standardschriftart"/>
    <w:link w:val="Sprechblasentext"/>
    <w:rsid w:val="0033250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6019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4</cp:revision>
  <cp:lastPrinted>2023-02-17T09:29:00Z</cp:lastPrinted>
  <dcterms:created xsi:type="dcterms:W3CDTF">2023-03-31T07:13:00Z</dcterms:created>
  <dcterms:modified xsi:type="dcterms:W3CDTF">2023-05-10T08:21:00Z</dcterms:modified>
</cp:coreProperties>
</file>