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748" w:rsidRDefault="00142748">
      <w:r>
        <w:rPr>
          <w:noProof/>
          <w:lang w:eastAsia="de-DE"/>
        </w:rPr>
        <w:drawing>
          <wp:anchor distT="0" distB="0" distL="114300" distR="114300" simplePos="0" relativeHeight="251658240" behindDoc="0" locked="0" layoutInCell="1" allowOverlap="1">
            <wp:simplePos x="0" y="0"/>
            <wp:positionH relativeFrom="column">
              <wp:posOffset>3719830</wp:posOffset>
            </wp:positionH>
            <wp:positionV relativeFrom="paragraph">
              <wp:posOffset>-314325</wp:posOffset>
            </wp:positionV>
            <wp:extent cx="2209800" cy="837781"/>
            <wp:effectExtent l="0" t="0" r="0" b="63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9800" cy="837781"/>
                    </a:xfrm>
                    <a:prstGeom prst="rect">
                      <a:avLst/>
                    </a:prstGeom>
                    <a:noFill/>
                  </pic:spPr>
                </pic:pic>
              </a:graphicData>
            </a:graphic>
            <wp14:sizeRelH relativeFrom="page">
              <wp14:pctWidth>0</wp14:pctWidth>
            </wp14:sizeRelH>
            <wp14:sizeRelV relativeFrom="page">
              <wp14:pctHeight>0</wp14:pctHeight>
            </wp14:sizeRelV>
          </wp:anchor>
        </w:drawing>
      </w:r>
      <w:r w:rsidRPr="00142748">
        <w:t>42-</w:t>
      </w:r>
      <w:r w:rsidR="009A567E">
        <w:t>863/3/5/2 E175</w:t>
      </w:r>
    </w:p>
    <w:p w:rsidR="00142748" w:rsidRDefault="00142748"/>
    <w:p w:rsidR="00142748" w:rsidRDefault="00142748"/>
    <w:p w:rsidR="00D23F0D" w:rsidRDefault="00D23F0D"/>
    <w:p w:rsidR="009A567E" w:rsidRDefault="009A567E"/>
    <w:p w:rsidR="009A567E" w:rsidRDefault="009A567E"/>
    <w:p w:rsidR="0084485B" w:rsidRDefault="0084485B"/>
    <w:p w:rsidR="00142748" w:rsidRDefault="00142748" w:rsidP="00142748">
      <w:pPr>
        <w:jc w:val="center"/>
        <w:rPr>
          <w:b/>
          <w:sz w:val="28"/>
          <w:szCs w:val="28"/>
        </w:rPr>
      </w:pPr>
      <w:r>
        <w:rPr>
          <w:b/>
          <w:sz w:val="28"/>
          <w:szCs w:val="28"/>
        </w:rPr>
        <w:t>Bekannt</w:t>
      </w:r>
      <w:r w:rsidR="00CC494C">
        <w:rPr>
          <w:b/>
          <w:sz w:val="28"/>
          <w:szCs w:val="28"/>
        </w:rPr>
        <w:t>machung</w:t>
      </w:r>
    </w:p>
    <w:p w:rsidR="00142748" w:rsidRDefault="00142748" w:rsidP="00142748">
      <w:pPr>
        <w:jc w:val="center"/>
        <w:rPr>
          <w:b/>
          <w:sz w:val="28"/>
          <w:szCs w:val="28"/>
        </w:rPr>
      </w:pPr>
    </w:p>
    <w:p w:rsidR="00993483" w:rsidRDefault="00993483" w:rsidP="00142748">
      <w:pPr>
        <w:jc w:val="center"/>
        <w:rPr>
          <w:b/>
          <w:sz w:val="28"/>
          <w:szCs w:val="28"/>
        </w:rPr>
      </w:pPr>
    </w:p>
    <w:p w:rsidR="00142748" w:rsidRDefault="00142748" w:rsidP="00142748">
      <w:pPr>
        <w:jc w:val="center"/>
        <w:rPr>
          <w:b/>
        </w:rPr>
      </w:pPr>
      <w:r>
        <w:rPr>
          <w:b/>
        </w:rPr>
        <w:t>Gemäß § 5 Abs. 2 des Gesetzes über die Umweltverträglichkeitsprüfung (UVPG)</w:t>
      </w:r>
    </w:p>
    <w:p w:rsidR="00142748" w:rsidRDefault="00142748" w:rsidP="00993483">
      <w:pPr>
        <w:pStyle w:val="Listenabsatz"/>
        <w:jc w:val="both"/>
        <w:rPr>
          <w:b/>
        </w:rPr>
      </w:pPr>
      <w:r>
        <w:rPr>
          <w:b/>
        </w:rPr>
        <w:t>- Feststellung des Ergebnisses über die Vorprüfung nach § 7 Abs. 1 UVPG</w:t>
      </w:r>
      <w:r w:rsidR="00BB722F">
        <w:rPr>
          <w:b/>
        </w:rPr>
        <w:t xml:space="preserve"> -</w:t>
      </w:r>
    </w:p>
    <w:p w:rsidR="0081382E" w:rsidRDefault="0081382E" w:rsidP="00993483">
      <w:pPr>
        <w:pStyle w:val="Listenabsatz"/>
        <w:jc w:val="both"/>
        <w:rPr>
          <w:b/>
        </w:rPr>
      </w:pPr>
    </w:p>
    <w:p w:rsidR="00993483" w:rsidRDefault="00993483" w:rsidP="00993483">
      <w:pPr>
        <w:pStyle w:val="Listenabsatz"/>
        <w:jc w:val="both"/>
        <w:rPr>
          <w:b/>
        </w:rPr>
      </w:pPr>
    </w:p>
    <w:p w:rsidR="00993483" w:rsidRDefault="00CC494C" w:rsidP="0081382E">
      <w:pPr>
        <w:ind w:left="2120" w:hanging="2120"/>
        <w:rPr>
          <w:b/>
        </w:rPr>
      </w:pPr>
      <w:r>
        <w:rPr>
          <w:b/>
        </w:rPr>
        <w:t>Vorhaben:</w:t>
      </w:r>
      <w:r>
        <w:rPr>
          <w:b/>
        </w:rPr>
        <w:tab/>
      </w:r>
      <w:r w:rsidR="0081382E">
        <w:rPr>
          <w:b/>
        </w:rPr>
        <w:tab/>
      </w:r>
      <w:r w:rsidR="009A567E" w:rsidRPr="009A567E">
        <w:rPr>
          <w:b/>
        </w:rPr>
        <w:t>Grundwasserentnahme für die öffentliche Wasserversor</w:t>
      </w:r>
      <w:r w:rsidR="006038BB">
        <w:rPr>
          <w:b/>
        </w:rPr>
        <w:t>gung aus dem Brunnen B VI im Ge</w:t>
      </w:r>
      <w:bookmarkStart w:id="0" w:name="_GoBack"/>
      <w:bookmarkEnd w:id="0"/>
      <w:r w:rsidR="009A567E" w:rsidRPr="009A567E">
        <w:rPr>
          <w:b/>
        </w:rPr>
        <w:t>winnungsgebiet Kronawittau</w:t>
      </w:r>
    </w:p>
    <w:p w:rsidR="0081382E" w:rsidRDefault="0081382E" w:rsidP="0081382E">
      <w:pPr>
        <w:ind w:left="1416" w:hanging="1416"/>
        <w:rPr>
          <w:b/>
        </w:rPr>
      </w:pPr>
    </w:p>
    <w:p w:rsidR="0081382E" w:rsidRPr="00CC494C" w:rsidRDefault="0081382E" w:rsidP="0081382E">
      <w:pPr>
        <w:ind w:left="2120" w:hanging="2120"/>
        <w:rPr>
          <w:b/>
        </w:rPr>
      </w:pPr>
      <w:r>
        <w:rPr>
          <w:b/>
        </w:rPr>
        <w:t xml:space="preserve">Vorhabenträger: </w:t>
      </w:r>
      <w:r>
        <w:rPr>
          <w:b/>
        </w:rPr>
        <w:tab/>
      </w:r>
      <w:r w:rsidR="009A567E" w:rsidRPr="009A567E">
        <w:rPr>
          <w:b/>
        </w:rPr>
        <w:t>Stadtwerke Landau a.d. Isar</w:t>
      </w:r>
      <w:r w:rsidR="009A567E">
        <w:rPr>
          <w:b/>
        </w:rPr>
        <w:t>, Maria-Ward-Platz 1, 94405 Landau a.d. Isar</w:t>
      </w:r>
    </w:p>
    <w:p w:rsidR="00993483" w:rsidRDefault="00993483" w:rsidP="00993483">
      <w:pPr>
        <w:pStyle w:val="Listenabsatz"/>
        <w:ind w:hanging="720"/>
        <w:rPr>
          <w:b/>
        </w:rPr>
      </w:pPr>
    </w:p>
    <w:p w:rsidR="009A567E" w:rsidRDefault="009A567E" w:rsidP="00993483">
      <w:pPr>
        <w:pStyle w:val="Listenabsatz"/>
        <w:ind w:hanging="720"/>
        <w:rPr>
          <w:b/>
        </w:rPr>
      </w:pPr>
    </w:p>
    <w:p w:rsidR="009A567E" w:rsidRPr="009A567E" w:rsidRDefault="009A567E" w:rsidP="009A567E">
      <w:pPr>
        <w:pStyle w:val="Listenabsatz"/>
        <w:ind w:left="0" w:hanging="11"/>
      </w:pPr>
      <w:r>
        <w:t>Die Stadtwerke Landau a.d. Isar haben mit Schreiben vom 21.09.2022 eine beschränkte wasserrechtliche Erlaubnis für das zutage Fördern von Grundwasser aus dem Brunnen auf dem Grundstück, Fl.Nr. 1390, Gmk. Landau a.d. Isar beantragt.</w:t>
      </w:r>
    </w:p>
    <w:p w:rsidR="009A567E" w:rsidRDefault="009A567E" w:rsidP="00993483">
      <w:pPr>
        <w:pStyle w:val="Listenabsatz"/>
        <w:ind w:left="0"/>
      </w:pPr>
    </w:p>
    <w:p w:rsidR="009A567E" w:rsidRPr="004C54E8" w:rsidRDefault="009A567E" w:rsidP="009A567E">
      <w:pPr>
        <w:tabs>
          <w:tab w:val="left" w:pos="567"/>
          <w:tab w:val="left" w:pos="1276"/>
        </w:tabs>
        <w:spacing w:line="312" w:lineRule="auto"/>
      </w:pPr>
      <w:r>
        <w:t>Beantragt wird die Erlaubnis</w:t>
      </w:r>
      <w:r w:rsidRPr="004C54E8">
        <w:t xml:space="preserve"> mit folgendem Umfang:</w:t>
      </w: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237"/>
        <w:gridCol w:w="934"/>
        <w:gridCol w:w="1457"/>
        <w:gridCol w:w="1457"/>
      </w:tblGrid>
      <w:tr w:rsidR="009A567E" w:rsidRPr="004C54E8" w:rsidTr="00D62C67">
        <w:tc>
          <w:tcPr>
            <w:tcW w:w="4237" w:type="dxa"/>
            <w:tcBorders>
              <w:top w:val="single" w:sz="6" w:space="0" w:color="auto"/>
              <w:bottom w:val="single" w:sz="6" w:space="0" w:color="auto"/>
              <w:right w:val="nil"/>
            </w:tcBorders>
            <w:shd w:val="clear" w:color="auto" w:fill="D9D9D9" w:themeFill="background1" w:themeFillShade="D9"/>
          </w:tcPr>
          <w:p w:rsidR="009A567E" w:rsidRPr="004C54E8" w:rsidRDefault="009A567E" w:rsidP="009A567E">
            <w:pPr>
              <w:tabs>
                <w:tab w:val="left" w:pos="567"/>
                <w:tab w:val="left" w:pos="1276"/>
              </w:tabs>
              <w:spacing w:line="312" w:lineRule="auto"/>
            </w:pPr>
            <w:r w:rsidRPr="004C54E8">
              <w:t>Brunnen</w:t>
            </w:r>
          </w:p>
        </w:tc>
        <w:tc>
          <w:tcPr>
            <w:tcW w:w="934" w:type="dxa"/>
            <w:tcBorders>
              <w:top w:val="single" w:sz="6" w:space="0" w:color="auto"/>
              <w:left w:val="nil"/>
              <w:bottom w:val="single" w:sz="6" w:space="0" w:color="auto"/>
              <w:right w:val="single" w:sz="6" w:space="0" w:color="auto"/>
            </w:tcBorders>
            <w:shd w:val="clear" w:color="auto" w:fill="D9D9D9" w:themeFill="background1" w:themeFillShade="D9"/>
          </w:tcPr>
          <w:p w:rsidR="009A567E" w:rsidRPr="004C54E8" w:rsidRDefault="009A567E" w:rsidP="00D62C67">
            <w:pPr>
              <w:tabs>
                <w:tab w:val="left" w:pos="567"/>
                <w:tab w:val="left" w:pos="1276"/>
              </w:tabs>
              <w:spacing w:line="312" w:lineRule="auto"/>
            </w:pPr>
          </w:p>
        </w:tc>
        <w:tc>
          <w:tcPr>
            <w:tcW w:w="1457" w:type="dxa"/>
            <w:tcBorders>
              <w:top w:val="single" w:sz="6" w:space="0" w:color="auto"/>
              <w:left w:val="single" w:sz="6" w:space="0" w:color="auto"/>
              <w:bottom w:val="single" w:sz="6" w:space="0" w:color="auto"/>
            </w:tcBorders>
            <w:shd w:val="clear" w:color="auto" w:fill="D9D9D9" w:themeFill="background1" w:themeFillShade="D9"/>
          </w:tcPr>
          <w:p w:rsidR="009A567E" w:rsidRPr="004C54E8" w:rsidRDefault="009A567E" w:rsidP="00D62C67">
            <w:pPr>
              <w:tabs>
                <w:tab w:val="left" w:pos="567"/>
                <w:tab w:val="left" w:pos="1276"/>
              </w:tabs>
              <w:spacing w:line="312" w:lineRule="auto"/>
            </w:pPr>
            <w:r>
              <w:t>Brunnen VI</w:t>
            </w:r>
          </w:p>
        </w:tc>
        <w:tc>
          <w:tcPr>
            <w:tcW w:w="1457" w:type="dxa"/>
            <w:tcBorders>
              <w:top w:val="single" w:sz="6" w:space="0" w:color="auto"/>
              <w:bottom w:val="single" w:sz="6" w:space="0" w:color="auto"/>
            </w:tcBorders>
            <w:shd w:val="clear" w:color="auto" w:fill="D9D9D9" w:themeFill="background1" w:themeFillShade="D9"/>
          </w:tcPr>
          <w:p w:rsidR="009A567E" w:rsidRPr="004C54E8" w:rsidRDefault="009A567E" w:rsidP="00D62C67">
            <w:pPr>
              <w:tabs>
                <w:tab w:val="left" w:pos="567"/>
                <w:tab w:val="left" w:pos="1276"/>
              </w:tabs>
              <w:spacing w:line="312" w:lineRule="auto"/>
            </w:pPr>
          </w:p>
        </w:tc>
      </w:tr>
      <w:tr w:rsidR="009A567E" w:rsidRPr="004C54E8" w:rsidTr="00D62C67">
        <w:tc>
          <w:tcPr>
            <w:tcW w:w="4237" w:type="dxa"/>
            <w:tcBorders>
              <w:top w:val="single" w:sz="6" w:space="0" w:color="auto"/>
              <w:bottom w:val="single" w:sz="6" w:space="0" w:color="auto"/>
              <w:right w:val="nil"/>
            </w:tcBorders>
            <w:shd w:val="clear" w:color="auto" w:fill="auto"/>
          </w:tcPr>
          <w:p w:rsidR="009A567E" w:rsidRPr="004C54E8" w:rsidRDefault="009A567E" w:rsidP="009A567E">
            <w:pPr>
              <w:tabs>
                <w:tab w:val="left" w:pos="567"/>
                <w:tab w:val="left" w:pos="1276"/>
              </w:tabs>
              <w:spacing w:line="312" w:lineRule="auto"/>
            </w:pPr>
            <w:r w:rsidRPr="004C54E8">
              <w:t>maximal</w:t>
            </w:r>
          </w:p>
        </w:tc>
        <w:tc>
          <w:tcPr>
            <w:tcW w:w="934" w:type="dxa"/>
            <w:tcBorders>
              <w:top w:val="single" w:sz="6" w:space="0" w:color="auto"/>
              <w:left w:val="nil"/>
              <w:bottom w:val="single" w:sz="6" w:space="0" w:color="auto"/>
              <w:right w:val="single" w:sz="6" w:space="0" w:color="auto"/>
            </w:tcBorders>
          </w:tcPr>
          <w:p w:rsidR="009A567E" w:rsidRPr="004C54E8" w:rsidRDefault="009A567E" w:rsidP="00D62C67">
            <w:pPr>
              <w:tabs>
                <w:tab w:val="left" w:pos="567"/>
                <w:tab w:val="left" w:pos="1276"/>
              </w:tabs>
              <w:spacing w:line="312" w:lineRule="auto"/>
            </w:pPr>
            <w:r w:rsidRPr="004C54E8">
              <w:t>[l/s]</w:t>
            </w:r>
          </w:p>
        </w:tc>
        <w:tc>
          <w:tcPr>
            <w:tcW w:w="1457" w:type="dxa"/>
            <w:tcBorders>
              <w:top w:val="single" w:sz="6" w:space="0" w:color="auto"/>
              <w:left w:val="single" w:sz="6" w:space="0" w:color="auto"/>
              <w:bottom w:val="single" w:sz="6" w:space="0" w:color="auto"/>
            </w:tcBorders>
          </w:tcPr>
          <w:p w:rsidR="009A567E" w:rsidRPr="004C54E8" w:rsidRDefault="009A567E" w:rsidP="00D62C67">
            <w:pPr>
              <w:tabs>
                <w:tab w:val="left" w:pos="567"/>
                <w:tab w:val="left" w:pos="1276"/>
              </w:tabs>
              <w:spacing w:line="312" w:lineRule="auto"/>
            </w:pPr>
            <w:r>
              <w:t>25</w:t>
            </w:r>
          </w:p>
        </w:tc>
        <w:tc>
          <w:tcPr>
            <w:tcW w:w="1457" w:type="dxa"/>
            <w:tcBorders>
              <w:top w:val="single" w:sz="6" w:space="0" w:color="auto"/>
              <w:bottom w:val="single" w:sz="6" w:space="0" w:color="auto"/>
            </w:tcBorders>
          </w:tcPr>
          <w:p w:rsidR="009A567E" w:rsidRPr="004C54E8" w:rsidRDefault="009A567E" w:rsidP="00D62C67">
            <w:pPr>
              <w:tabs>
                <w:tab w:val="left" w:pos="567"/>
                <w:tab w:val="left" w:pos="1276"/>
              </w:tabs>
              <w:spacing w:line="312" w:lineRule="auto"/>
            </w:pPr>
          </w:p>
        </w:tc>
      </w:tr>
      <w:tr w:rsidR="009A567E" w:rsidRPr="004C54E8" w:rsidTr="00D62C67">
        <w:tc>
          <w:tcPr>
            <w:tcW w:w="4237" w:type="dxa"/>
            <w:tcBorders>
              <w:top w:val="single" w:sz="6" w:space="0" w:color="auto"/>
              <w:bottom w:val="single" w:sz="6" w:space="0" w:color="auto"/>
              <w:right w:val="nil"/>
            </w:tcBorders>
            <w:shd w:val="clear" w:color="auto" w:fill="auto"/>
          </w:tcPr>
          <w:p w:rsidR="009A567E" w:rsidRPr="004C54E8" w:rsidRDefault="009A567E" w:rsidP="009A567E">
            <w:pPr>
              <w:tabs>
                <w:tab w:val="left" w:pos="567"/>
                <w:tab w:val="left" w:pos="1276"/>
              </w:tabs>
              <w:spacing w:line="312" w:lineRule="auto"/>
            </w:pPr>
            <w:r w:rsidRPr="004C54E8">
              <w:t>maximal</w:t>
            </w:r>
          </w:p>
        </w:tc>
        <w:tc>
          <w:tcPr>
            <w:tcW w:w="934" w:type="dxa"/>
            <w:tcBorders>
              <w:top w:val="single" w:sz="6" w:space="0" w:color="auto"/>
              <w:left w:val="nil"/>
              <w:bottom w:val="single" w:sz="6" w:space="0" w:color="auto"/>
              <w:right w:val="single" w:sz="6" w:space="0" w:color="auto"/>
            </w:tcBorders>
          </w:tcPr>
          <w:p w:rsidR="009A567E" w:rsidRPr="004C54E8" w:rsidRDefault="009A567E" w:rsidP="00D62C67">
            <w:pPr>
              <w:tabs>
                <w:tab w:val="left" w:pos="567"/>
                <w:tab w:val="left" w:pos="1276"/>
              </w:tabs>
              <w:spacing w:line="312" w:lineRule="auto"/>
            </w:pPr>
            <w:r>
              <w:t>[m³/h</w:t>
            </w:r>
            <w:r w:rsidRPr="004C54E8">
              <w:t>]</w:t>
            </w:r>
          </w:p>
        </w:tc>
        <w:tc>
          <w:tcPr>
            <w:tcW w:w="1457" w:type="dxa"/>
            <w:tcBorders>
              <w:top w:val="single" w:sz="6" w:space="0" w:color="auto"/>
              <w:left w:val="single" w:sz="6" w:space="0" w:color="auto"/>
              <w:bottom w:val="single" w:sz="6" w:space="0" w:color="auto"/>
            </w:tcBorders>
          </w:tcPr>
          <w:p w:rsidR="009A567E" w:rsidRPr="004C54E8" w:rsidRDefault="009A567E" w:rsidP="00D62C67">
            <w:pPr>
              <w:tabs>
                <w:tab w:val="left" w:pos="567"/>
                <w:tab w:val="left" w:pos="1276"/>
              </w:tabs>
              <w:spacing w:line="312" w:lineRule="auto"/>
            </w:pPr>
            <w:r>
              <w:t>90</w:t>
            </w:r>
          </w:p>
        </w:tc>
        <w:tc>
          <w:tcPr>
            <w:tcW w:w="1457" w:type="dxa"/>
            <w:tcBorders>
              <w:top w:val="single" w:sz="6" w:space="0" w:color="auto"/>
              <w:bottom w:val="single" w:sz="6" w:space="0" w:color="auto"/>
            </w:tcBorders>
          </w:tcPr>
          <w:p w:rsidR="009A567E" w:rsidRPr="004C54E8" w:rsidRDefault="009A567E" w:rsidP="00D62C67">
            <w:pPr>
              <w:tabs>
                <w:tab w:val="left" w:pos="567"/>
                <w:tab w:val="left" w:pos="1276"/>
              </w:tabs>
              <w:spacing w:line="312" w:lineRule="auto"/>
            </w:pPr>
          </w:p>
        </w:tc>
      </w:tr>
      <w:tr w:rsidR="009A567E" w:rsidRPr="004C54E8" w:rsidTr="00D62C67">
        <w:tc>
          <w:tcPr>
            <w:tcW w:w="4237" w:type="dxa"/>
            <w:tcBorders>
              <w:top w:val="single" w:sz="6" w:space="0" w:color="auto"/>
              <w:bottom w:val="single" w:sz="6" w:space="0" w:color="auto"/>
              <w:right w:val="nil"/>
            </w:tcBorders>
            <w:shd w:val="clear" w:color="auto" w:fill="auto"/>
          </w:tcPr>
          <w:p w:rsidR="009A567E" w:rsidRPr="004C54E8" w:rsidRDefault="009A567E" w:rsidP="009A567E">
            <w:pPr>
              <w:tabs>
                <w:tab w:val="left" w:pos="567"/>
                <w:tab w:val="left" w:pos="1276"/>
              </w:tabs>
              <w:spacing w:line="312" w:lineRule="auto"/>
            </w:pPr>
            <w:r w:rsidRPr="004C54E8">
              <w:t>maximal</w:t>
            </w:r>
          </w:p>
        </w:tc>
        <w:tc>
          <w:tcPr>
            <w:tcW w:w="934" w:type="dxa"/>
            <w:tcBorders>
              <w:top w:val="single" w:sz="6" w:space="0" w:color="auto"/>
              <w:left w:val="nil"/>
              <w:bottom w:val="single" w:sz="6" w:space="0" w:color="auto"/>
              <w:right w:val="single" w:sz="6" w:space="0" w:color="auto"/>
            </w:tcBorders>
          </w:tcPr>
          <w:p w:rsidR="009A567E" w:rsidRPr="004C54E8" w:rsidRDefault="009A567E" w:rsidP="00D62C67">
            <w:pPr>
              <w:tabs>
                <w:tab w:val="left" w:pos="567"/>
                <w:tab w:val="left" w:pos="1276"/>
              </w:tabs>
              <w:spacing w:line="312" w:lineRule="auto"/>
            </w:pPr>
            <w:r w:rsidRPr="004C54E8">
              <w:t>[m³/a]</w:t>
            </w:r>
          </w:p>
        </w:tc>
        <w:tc>
          <w:tcPr>
            <w:tcW w:w="1457" w:type="dxa"/>
            <w:tcBorders>
              <w:top w:val="single" w:sz="6" w:space="0" w:color="auto"/>
              <w:left w:val="single" w:sz="6" w:space="0" w:color="auto"/>
              <w:bottom w:val="single" w:sz="6" w:space="0" w:color="auto"/>
            </w:tcBorders>
          </w:tcPr>
          <w:p w:rsidR="009A567E" w:rsidRPr="004C54E8" w:rsidRDefault="009A567E" w:rsidP="00D62C67">
            <w:pPr>
              <w:tabs>
                <w:tab w:val="left" w:pos="567"/>
                <w:tab w:val="left" w:pos="1276"/>
              </w:tabs>
              <w:spacing w:line="312" w:lineRule="auto"/>
            </w:pPr>
            <w:r>
              <w:t>600.000</w:t>
            </w:r>
          </w:p>
        </w:tc>
        <w:tc>
          <w:tcPr>
            <w:tcW w:w="1457" w:type="dxa"/>
            <w:tcBorders>
              <w:top w:val="single" w:sz="6" w:space="0" w:color="auto"/>
              <w:bottom w:val="single" w:sz="6" w:space="0" w:color="auto"/>
            </w:tcBorders>
          </w:tcPr>
          <w:p w:rsidR="009A567E" w:rsidRPr="004C54E8" w:rsidRDefault="009A567E" w:rsidP="00D62C67">
            <w:pPr>
              <w:tabs>
                <w:tab w:val="left" w:pos="567"/>
                <w:tab w:val="left" w:pos="1276"/>
              </w:tabs>
              <w:spacing w:line="312" w:lineRule="auto"/>
            </w:pPr>
          </w:p>
        </w:tc>
      </w:tr>
    </w:tbl>
    <w:p w:rsidR="009A567E" w:rsidRDefault="009A567E" w:rsidP="009A567E">
      <w:pPr>
        <w:tabs>
          <w:tab w:val="left" w:pos="567"/>
          <w:tab w:val="left" w:pos="1276"/>
        </w:tabs>
        <w:spacing w:line="312" w:lineRule="auto"/>
      </w:pPr>
    </w:p>
    <w:p w:rsidR="00993483" w:rsidRDefault="009A567E" w:rsidP="009A567E">
      <w:pPr>
        <w:pStyle w:val="Listenabsatz"/>
        <w:ind w:left="0" w:hanging="11"/>
      </w:pPr>
      <w:r>
        <w:t>Gem. Antrag sollen aus der Gewinnungsanlage Kronawittau (Br. III, IV und der neue Brunnen VI)</w:t>
      </w:r>
      <w:r w:rsidRPr="004C54E8">
        <w:t xml:space="preserve"> </w:t>
      </w:r>
      <w:r>
        <w:t xml:space="preserve">auch weiterhin </w:t>
      </w:r>
      <w:r w:rsidRPr="009A567E">
        <w:t>insgesamt</w:t>
      </w:r>
      <w:r w:rsidRPr="004C54E8">
        <w:t xml:space="preserve"> </w:t>
      </w:r>
      <w:r>
        <w:t>nicht mehr als</w:t>
      </w:r>
      <w:r w:rsidRPr="004C54E8">
        <w:t xml:space="preserve"> maximal </w:t>
      </w:r>
      <w:r>
        <w:t>1.100.000 m³/a gefördert werden und insofern die bereits erlaubte</w:t>
      </w:r>
      <w:r>
        <w:t xml:space="preserve"> Jahresentnahmemenge aus diesem </w:t>
      </w:r>
      <w:r>
        <w:t xml:space="preserve">Gewinnungsgebiet nicht gesteigert werden. </w:t>
      </w:r>
    </w:p>
    <w:p w:rsidR="00E910C7" w:rsidRPr="00993483" w:rsidRDefault="00E910C7" w:rsidP="00993483"/>
    <w:p w:rsidR="002504C3" w:rsidRPr="002504C3" w:rsidRDefault="00B4314D" w:rsidP="002504C3">
      <w:r>
        <w:t>Gemäß § 7 Abs. 1 Satz 1 und 2 UVPG i. V. m. Nr. 13.</w:t>
      </w:r>
      <w:r w:rsidR="009A567E">
        <w:t>3.2</w:t>
      </w:r>
      <w:r>
        <w:t xml:space="preserve"> Spalte 2 der Anlage 1 zum UVPG ist eine allgemeine Vorprüfung des Einzelfalls durchzuführen, ob das Vorhaben einer Umweltverträglichkeitsprüfung bedarf. Diese ist nur dann durchzuführen, wenn das Vorhaben nach </w:t>
      </w:r>
      <w:r w:rsidR="00A87BBD">
        <w:t>Einschätzung</w:t>
      </w:r>
      <w:r>
        <w:t xml:space="preserve"> des Landratsamtes Dingolfing-Landau auf Grund überschlägiger Prüfung unter Berücksichtigung der in der Anlage 3 aufgeführten Kriterien erhebliche nachteilige Umweltauswirkungen haben kann, die im </w:t>
      </w:r>
      <w:r w:rsidR="00A87BBD">
        <w:t>Hinblick</w:t>
      </w:r>
      <w:r>
        <w:t xml:space="preserve"> auf eine wirksame Umweltvorsorge zu berücksichtigen wären (§ 7 Abs. 1 Satz 3 i. V. m. § 25 Abs. 2 UVPG).</w:t>
      </w:r>
    </w:p>
    <w:p w:rsidR="00993483" w:rsidRDefault="00993483" w:rsidP="00993483">
      <w:pPr>
        <w:pStyle w:val="Listenabsatz"/>
        <w:ind w:left="0"/>
      </w:pPr>
    </w:p>
    <w:p w:rsidR="002504C3" w:rsidRDefault="009A567E" w:rsidP="00993483">
      <w:pPr>
        <w:pStyle w:val="Listenabsatz"/>
        <w:ind w:left="0"/>
      </w:pPr>
      <w:r>
        <w:t>Dazu hat die</w:t>
      </w:r>
      <w:r w:rsidR="002504C3">
        <w:t xml:space="preserve"> Vorhaben</w:t>
      </w:r>
      <w:r>
        <w:t>s</w:t>
      </w:r>
      <w:r w:rsidR="002504C3">
        <w:t>träger</w:t>
      </w:r>
      <w:r>
        <w:t>in</w:t>
      </w:r>
      <w:r w:rsidR="002504C3">
        <w:t xml:space="preserve"> Unterlagen für die Durchführung einer allgemeinen Vorprüfung gem. Anlage 2 UVPG vorgelegt.</w:t>
      </w:r>
    </w:p>
    <w:p w:rsidR="002504C3" w:rsidRDefault="002504C3" w:rsidP="00993483">
      <w:pPr>
        <w:pStyle w:val="Listenabsatz"/>
        <w:ind w:left="0"/>
      </w:pPr>
    </w:p>
    <w:p w:rsidR="002504C3" w:rsidRDefault="002504C3" w:rsidP="00993483">
      <w:pPr>
        <w:pStyle w:val="Listenabsatz"/>
        <w:ind w:left="0"/>
      </w:pPr>
      <w:r>
        <w:t>Diese nach den Vorgaben der Anlage 3 UVPG vorgenommene Vorprüfung hat ergeben, dass eine Umweltverträglichkeitsprüfung für das o.g. Vorhaben nicht erforderlich ist.</w:t>
      </w:r>
    </w:p>
    <w:p w:rsidR="002504C3" w:rsidRDefault="002504C3" w:rsidP="00993483">
      <w:pPr>
        <w:pStyle w:val="Listenabsatz"/>
        <w:ind w:left="0"/>
      </w:pPr>
    </w:p>
    <w:p w:rsidR="002504C3" w:rsidRDefault="002504C3" w:rsidP="00993483">
      <w:pPr>
        <w:pStyle w:val="Listenabsatz"/>
        <w:ind w:left="0"/>
      </w:pPr>
      <w:r>
        <w:t xml:space="preserve">Die einzelnen Gründe für die Entscheidung können im anliegenden Prüfvermerk eingesehen werden. </w:t>
      </w:r>
    </w:p>
    <w:p w:rsidR="00D23F0D" w:rsidRDefault="00D23F0D" w:rsidP="00993483">
      <w:pPr>
        <w:pStyle w:val="Listenabsatz"/>
        <w:ind w:left="0"/>
      </w:pPr>
    </w:p>
    <w:p w:rsidR="00D23F0D" w:rsidRDefault="00D23F0D" w:rsidP="00993483">
      <w:pPr>
        <w:pStyle w:val="Listenabsatz"/>
        <w:ind w:left="0"/>
      </w:pPr>
      <w:r>
        <w:lastRenderedPageBreak/>
        <w:t>Diese Feststellung wird hiermit gemäß §5, § 9 Abs. 3 und 4, § 7 UVPG bekannt gegeben.</w:t>
      </w:r>
    </w:p>
    <w:p w:rsidR="00D23F0D" w:rsidRDefault="00D23F0D" w:rsidP="00993483">
      <w:pPr>
        <w:pStyle w:val="Listenabsatz"/>
        <w:ind w:left="0"/>
      </w:pPr>
      <w:r>
        <w:t>Sie ist nach § 5 Abs. 3 UVPG nicht selbständig anfechtbar.</w:t>
      </w:r>
    </w:p>
    <w:p w:rsidR="00D23F0D" w:rsidRDefault="00D23F0D" w:rsidP="00993483">
      <w:pPr>
        <w:pStyle w:val="Listenabsatz"/>
        <w:ind w:left="0"/>
      </w:pPr>
    </w:p>
    <w:p w:rsidR="00D23F0D" w:rsidRDefault="00D23F0D" w:rsidP="00993483">
      <w:pPr>
        <w:pStyle w:val="Listenabsatz"/>
        <w:ind w:left="0"/>
      </w:pPr>
    </w:p>
    <w:p w:rsidR="00D23F0D" w:rsidRDefault="00D23F0D" w:rsidP="00993483">
      <w:pPr>
        <w:pStyle w:val="Listenabsatz"/>
        <w:ind w:left="0"/>
      </w:pPr>
      <w:r>
        <w:t xml:space="preserve">Dingolfing, </w:t>
      </w:r>
      <w:r w:rsidR="009A567E">
        <w:t>08.11.2022</w:t>
      </w:r>
    </w:p>
    <w:p w:rsidR="00D23F0D" w:rsidRDefault="00D23F0D" w:rsidP="00993483">
      <w:pPr>
        <w:pStyle w:val="Listenabsatz"/>
        <w:ind w:left="0"/>
      </w:pPr>
    </w:p>
    <w:p w:rsidR="00D23F0D" w:rsidRDefault="00D23F0D" w:rsidP="00993483">
      <w:pPr>
        <w:pStyle w:val="Listenabsatz"/>
        <w:ind w:left="0"/>
      </w:pPr>
    </w:p>
    <w:p w:rsidR="00D23F0D" w:rsidRPr="00993483" w:rsidRDefault="00D23F0D" w:rsidP="00993483">
      <w:pPr>
        <w:pStyle w:val="Listenabsatz"/>
        <w:ind w:left="0"/>
      </w:pPr>
      <w:r>
        <w:t>Juraske</w:t>
      </w:r>
    </w:p>
    <w:sectPr w:rsidR="00D23F0D" w:rsidRPr="00993483">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509" w:rsidRDefault="00DF2509" w:rsidP="00DF2509">
      <w:r>
        <w:separator/>
      </w:r>
    </w:p>
  </w:endnote>
  <w:endnote w:type="continuationSeparator" w:id="0">
    <w:p w:rsidR="00DF2509" w:rsidRDefault="00DF2509" w:rsidP="00DF2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509" w:rsidRDefault="00DF2509" w:rsidP="00DF2509">
      <w:r>
        <w:separator/>
      </w:r>
    </w:p>
  </w:footnote>
  <w:footnote w:type="continuationSeparator" w:id="0">
    <w:p w:rsidR="00DF2509" w:rsidRDefault="00DF2509" w:rsidP="00DF25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0326136"/>
      <w:docPartObj>
        <w:docPartGallery w:val="Page Numbers (Top of Page)"/>
        <w:docPartUnique/>
      </w:docPartObj>
    </w:sdtPr>
    <w:sdtEndPr/>
    <w:sdtContent>
      <w:p w:rsidR="00DF2509" w:rsidRDefault="00DF2509">
        <w:pPr>
          <w:pStyle w:val="Kopfzeile"/>
          <w:jc w:val="center"/>
        </w:pPr>
        <w:r>
          <w:fldChar w:fldCharType="begin"/>
        </w:r>
        <w:r>
          <w:instrText>PAGE   \* MERGEFORMAT</w:instrText>
        </w:r>
        <w:r>
          <w:fldChar w:fldCharType="separate"/>
        </w:r>
        <w:r w:rsidR="006038BB">
          <w:rPr>
            <w:noProof/>
          </w:rPr>
          <w:t>2</w:t>
        </w:r>
        <w:r>
          <w:fldChar w:fldCharType="end"/>
        </w:r>
      </w:p>
    </w:sdtContent>
  </w:sdt>
  <w:p w:rsidR="00DF2509" w:rsidRDefault="00DF250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3B5731"/>
    <w:multiLevelType w:val="hybridMultilevel"/>
    <w:tmpl w:val="2AF08FF8"/>
    <w:lvl w:ilvl="0" w:tplc="BD0277B0">
      <w:start w:val="42"/>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638D6EFD"/>
    <w:multiLevelType w:val="hybridMultilevel"/>
    <w:tmpl w:val="FAE49110"/>
    <w:lvl w:ilvl="0" w:tplc="F37EEF1E">
      <w:start w:val="4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C2D1BF4"/>
    <w:multiLevelType w:val="hybridMultilevel"/>
    <w:tmpl w:val="E91A4A8A"/>
    <w:lvl w:ilvl="0" w:tplc="22BE2842">
      <w:start w:val="4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748"/>
    <w:rsid w:val="00142748"/>
    <w:rsid w:val="00184BDB"/>
    <w:rsid w:val="002504C3"/>
    <w:rsid w:val="005E060A"/>
    <w:rsid w:val="006038BB"/>
    <w:rsid w:val="007138BD"/>
    <w:rsid w:val="007613E2"/>
    <w:rsid w:val="0081382E"/>
    <w:rsid w:val="0084485B"/>
    <w:rsid w:val="00906DD5"/>
    <w:rsid w:val="00952D79"/>
    <w:rsid w:val="00984F5A"/>
    <w:rsid w:val="00993483"/>
    <w:rsid w:val="009A567E"/>
    <w:rsid w:val="00A43A4A"/>
    <w:rsid w:val="00A87BBD"/>
    <w:rsid w:val="00AD3DE9"/>
    <w:rsid w:val="00B4314D"/>
    <w:rsid w:val="00BB722F"/>
    <w:rsid w:val="00CC494C"/>
    <w:rsid w:val="00D23F0D"/>
    <w:rsid w:val="00DF2509"/>
    <w:rsid w:val="00E910C7"/>
    <w:rsid w:val="00EC7529"/>
    <w:rsid w:val="00F956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C2252"/>
  <w15:chartTrackingRefBased/>
  <w15:docId w15:val="{A18034E0-D6DE-4294-A30E-8FFADFC81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42748"/>
    <w:pPr>
      <w:ind w:left="720"/>
      <w:contextualSpacing/>
    </w:pPr>
  </w:style>
  <w:style w:type="paragraph" w:styleId="Sprechblasentext">
    <w:name w:val="Balloon Text"/>
    <w:basedOn w:val="Standard"/>
    <w:link w:val="SprechblasentextZchn"/>
    <w:uiPriority w:val="99"/>
    <w:semiHidden/>
    <w:unhideWhenUsed/>
    <w:rsid w:val="007613E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613E2"/>
    <w:rPr>
      <w:rFonts w:ascii="Segoe UI" w:hAnsi="Segoe UI" w:cs="Segoe UI"/>
      <w:sz w:val="18"/>
      <w:szCs w:val="18"/>
    </w:rPr>
  </w:style>
  <w:style w:type="paragraph" w:styleId="Kopfzeile">
    <w:name w:val="header"/>
    <w:basedOn w:val="Standard"/>
    <w:link w:val="KopfzeileZchn"/>
    <w:uiPriority w:val="99"/>
    <w:unhideWhenUsed/>
    <w:rsid w:val="00DF2509"/>
    <w:pPr>
      <w:tabs>
        <w:tab w:val="center" w:pos="4536"/>
        <w:tab w:val="right" w:pos="9072"/>
      </w:tabs>
    </w:pPr>
  </w:style>
  <w:style w:type="character" w:customStyle="1" w:styleId="KopfzeileZchn">
    <w:name w:val="Kopfzeile Zchn"/>
    <w:basedOn w:val="Absatz-Standardschriftart"/>
    <w:link w:val="Kopfzeile"/>
    <w:uiPriority w:val="99"/>
    <w:rsid w:val="00DF2509"/>
  </w:style>
  <w:style w:type="paragraph" w:styleId="Fuzeile">
    <w:name w:val="footer"/>
    <w:basedOn w:val="Standard"/>
    <w:link w:val="FuzeileZchn"/>
    <w:uiPriority w:val="99"/>
    <w:unhideWhenUsed/>
    <w:rsid w:val="00DF2509"/>
    <w:pPr>
      <w:tabs>
        <w:tab w:val="center" w:pos="4536"/>
        <w:tab w:val="right" w:pos="9072"/>
      </w:tabs>
    </w:pPr>
  </w:style>
  <w:style w:type="character" w:customStyle="1" w:styleId="FuzeileZchn">
    <w:name w:val="Fußzeile Zchn"/>
    <w:basedOn w:val="Absatz-Standardschriftart"/>
    <w:link w:val="Fuzeile"/>
    <w:uiPriority w:val="99"/>
    <w:rsid w:val="00DF25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303</Words>
  <Characters>1913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Juraske Maria</dc:creator>
  <cp:keywords/>
  <dc:description/>
  <cp:lastModifiedBy>Juraske Maria</cp:lastModifiedBy>
  <cp:revision>4</cp:revision>
  <cp:lastPrinted>2021-09-06T09:45:00Z</cp:lastPrinted>
  <dcterms:created xsi:type="dcterms:W3CDTF">2022-11-08T08:09:00Z</dcterms:created>
  <dcterms:modified xsi:type="dcterms:W3CDTF">2022-11-08T10:34:00Z</dcterms:modified>
</cp:coreProperties>
</file>