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C7" w:rsidRPr="00AE4EC3" w:rsidRDefault="002262C7" w:rsidP="002262C7">
      <w:r w:rsidRPr="00AE4EC3">
        <w:t>Az. 170/3/2 -</w:t>
      </w:r>
      <w:r w:rsidR="008415C3">
        <w:t>114</w:t>
      </w:r>
      <w:r w:rsidR="00640919">
        <w:t>.2</w:t>
      </w:r>
      <w:r w:rsidR="001842C1">
        <w:br/>
      </w:r>
    </w:p>
    <w:p w:rsidR="002262C7" w:rsidRPr="008415C3" w:rsidRDefault="002262C7" w:rsidP="002262C7">
      <w:pPr>
        <w:pStyle w:val="Kopfzeile"/>
        <w:rPr>
          <w:b/>
        </w:rPr>
      </w:pPr>
      <w:r w:rsidRPr="00715F33">
        <w:rPr>
          <w:b/>
        </w:rPr>
        <w:t>Antrag der</w:t>
      </w:r>
      <w:r w:rsidR="008415C3" w:rsidRPr="008415C3">
        <w:t xml:space="preserve"> </w:t>
      </w:r>
      <w:proofErr w:type="spellStart"/>
      <w:r w:rsidR="008415C3" w:rsidRPr="008415C3">
        <w:rPr>
          <w:b/>
        </w:rPr>
        <w:t>Girnghuber</w:t>
      </w:r>
      <w:proofErr w:type="spellEnd"/>
      <w:r w:rsidR="008415C3" w:rsidRPr="008415C3">
        <w:rPr>
          <w:b/>
        </w:rPr>
        <w:t xml:space="preserve"> GmbH-GIMA Dachziegel und Klinkerwerk, Ludwig-</w:t>
      </w:r>
      <w:proofErr w:type="spellStart"/>
      <w:r w:rsidR="008415C3" w:rsidRPr="008415C3">
        <w:rPr>
          <w:b/>
        </w:rPr>
        <w:t>Girnghuber</w:t>
      </w:r>
      <w:proofErr w:type="spellEnd"/>
      <w:r w:rsidR="008415C3" w:rsidRPr="008415C3">
        <w:rPr>
          <w:b/>
        </w:rPr>
        <w:t xml:space="preserve"> Straße 1, 84163 </w:t>
      </w:r>
      <w:proofErr w:type="spellStart"/>
      <w:r w:rsidR="008415C3" w:rsidRPr="008415C3">
        <w:rPr>
          <w:b/>
        </w:rPr>
        <w:t>Marklkofen</w:t>
      </w:r>
      <w:proofErr w:type="spellEnd"/>
      <w:r w:rsidRPr="008415C3">
        <w:rPr>
          <w:b/>
        </w:rPr>
        <w:t>, auf Erteilung der immissionsschutzrechtlichen</w:t>
      </w:r>
      <w:r w:rsidRPr="00715F33">
        <w:rPr>
          <w:b/>
        </w:rPr>
        <w:t xml:space="preserve"> Genehm</w:t>
      </w:r>
      <w:r w:rsidR="00640919">
        <w:rPr>
          <w:b/>
        </w:rPr>
        <w:t>igung nach § 16</w:t>
      </w:r>
      <w:r>
        <w:rPr>
          <w:b/>
        </w:rPr>
        <w:t xml:space="preserve"> BImSchG zur Errichtung und zum Betrieb </w:t>
      </w:r>
      <w:r w:rsidR="008415C3">
        <w:rPr>
          <w:b/>
        </w:rPr>
        <w:t xml:space="preserve">einer </w:t>
      </w:r>
      <w:r w:rsidR="00640919">
        <w:rPr>
          <w:b/>
        </w:rPr>
        <w:t xml:space="preserve">Anlage zum Brennen </w:t>
      </w:r>
      <w:r w:rsidR="008415C3" w:rsidRPr="008415C3">
        <w:rPr>
          <w:b/>
        </w:rPr>
        <w:t xml:space="preserve">keramischer Erzeugnisse mit einer </w:t>
      </w:r>
      <w:r w:rsidR="00640919">
        <w:rPr>
          <w:b/>
        </w:rPr>
        <w:t>Produktionskapazität von mehr als 75 t/Tag durch Schaffung gemeinsamer Betriebseinrichtungen von Werk 6 und Werk 7 und Zusammenfassung der Werke 6 und 7 zu einem Werkskomplex (</w:t>
      </w:r>
      <w:r w:rsidR="008415C3">
        <w:rPr>
          <w:b/>
        </w:rPr>
        <w:t>Anl</w:t>
      </w:r>
      <w:r w:rsidR="00640919">
        <w:rPr>
          <w:b/>
        </w:rPr>
        <w:t>age nach 2.10.1 (G/E</w:t>
      </w:r>
      <w:r w:rsidR="008415C3">
        <w:rPr>
          <w:b/>
        </w:rPr>
        <w:t>) der 4. BImSchV)</w:t>
      </w:r>
    </w:p>
    <w:p w:rsidR="002262C7" w:rsidRDefault="002262C7" w:rsidP="002262C7">
      <w:pPr>
        <w:rPr>
          <w:sz w:val="32"/>
          <w:szCs w:val="32"/>
        </w:rPr>
      </w:pPr>
    </w:p>
    <w:p w:rsidR="002262C7" w:rsidRDefault="002262C7" w:rsidP="002262C7">
      <w:pPr>
        <w:rPr>
          <w:b/>
          <w:sz w:val="28"/>
          <w:szCs w:val="28"/>
        </w:rPr>
      </w:pPr>
      <w:r w:rsidRPr="00FD3ED6">
        <w:rPr>
          <w:b/>
          <w:sz w:val="28"/>
          <w:szCs w:val="28"/>
        </w:rPr>
        <w:t>I.</w:t>
      </w:r>
    </w:p>
    <w:p w:rsidR="00224479" w:rsidRDefault="00224479" w:rsidP="002262C7">
      <w:r>
        <w:t>Ursprünglich wurden die Werke 6 und 7 als autarke, nicht mit gemeinsamen Betriebseinrichtungen verbundene Werke immissionsschutzrechtlich genehmigt.</w:t>
      </w:r>
    </w:p>
    <w:p w:rsidR="00224479" w:rsidRDefault="00224479" w:rsidP="002262C7">
      <w:r>
        <w:t>Diese Form der Betriebsorganisation wird nun aufgegeben.</w:t>
      </w:r>
    </w:p>
    <w:p w:rsidR="00224479" w:rsidRDefault="00224479" w:rsidP="002262C7">
      <w:r>
        <w:t>Es sollen künftig Anlagenteile auch gemeinsam genutzt werden.</w:t>
      </w:r>
    </w:p>
    <w:p w:rsidR="00224479" w:rsidRDefault="00224479" w:rsidP="002262C7"/>
    <w:p w:rsidR="00224479" w:rsidRDefault="00224479" w:rsidP="002262C7">
      <w:r>
        <w:t>Es sind folgende Maßnahmen vorgesehen:</w:t>
      </w:r>
    </w:p>
    <w:p w:rsidR="00224479" w:rsidRDefault="00224479" w:rsidP="00224479">
      <w:pPr>
        <w:pStyle w:val="Aufzhlungszeichen"/>
      </w:pPr>
      <w:r>
        <w:t xml:space="preserve">- die Erweiterung der Engobier- und </w:t>
      </w:r>
      <w:proofErr w:type="spellStart"/>
      <w:r>
        <w:t>Glas</w:t>
      </w:r>
      <w:r w:rsidR="001842C1">
        <w:t>ier</w:t>
      </w:r>
      <w:r>
        <w:t>linie</w:t>
      </w:r>
      <w:proofErr w:type="spellEnd"/>
      <w:r>
        <w:t xml:space="preserve"> im Werk 6 </w:t>
      </w:r>
      <w:r>
        <w:br/>
        <w:t>- die gemeinsame Aufbereitung, Lagerung und Verwendung der Massen</w:t>
      </w:r>
      <w:r>
        <w:br/>
        <w:t>- die Ertüchtigung und Erweiterung der Ofensteuerung im Werk 6</w:t>
      </w:r>
      <w:r>
        <w:br/>
        <w:t>- die teilweise Verbindung der Verpackungslinien, um je nach Produkttyp flexibel verpacken</w:t>
      </w:r>
      <w:r>
        <w:br/>
        <w:t xml:space="preserve">  zu können.</w:t>
      </w:r>
      <w:r w:rsidR="001842C1">
        <w:br/>
      </w:r>
    </w:p>
    <w:p w:rsidR="003E7C8A" w:rsidRDefault="003E7C8A" w:rsidP="002262C7">
      <w:r>
        <w:t>Durch die Zusammenlegung der beiden Werke ist die Anlage allerdings nun als gemeinsame Anlage zu betrachten und verfügt über eine Produktionskapazität vom mehr als 75 t/d. Dies führt formal zur Einstufung als Anlage nach Ziffer 2.10.1 des Anhang 1 der 4. BImSchV sowie als IE-Anlage (Nr. 3.5 des Anhang</w:t>
      </w:r>
      <w:r w:rsidR="00C80984">
        <w:t>s zur IE-Ri</w:t>
      </w:r>
      <w:r w:rsidR="001842C1">
        <w:t>chtlinie)</w:t>
      </w:r>
      <w:r>
        <w:t>.</w:t>
      </w:r>
    </w:p>
    <w:p w:rsidR="002262C7" w:rsidRDefault="003E7C8A" w:rsidP="002262C7">
      <w:r>
        <w:t xml:space="preserve">Die GIMA </w:t>
      </w:r>
      <w:proofErr w:type="spellStart"/>
      <w:r>
        <w:t>Girnhuber</w:t>
      </w:r>
      <w:proofErr w:type="spellEnd"/>
      <w:r>
        <w:t xml:space="preserve"> GmbH beantragte daher die Genehmigung zur wesentlichen Änderung der Anlage n</w:t>
      </w:r>
      <w:r w:rsidR="00C80984">
        <w:t>ach § 16 BImSchG. Der entsprechende immissionsschutzrechtliche Antrag</w:t>
      </w:r>
      <w:r>
        <w:t xml:space="preserve"> ging am 23.11.2021</w:t>
      </w:r>
      <w:r w:rsidR="008415C3">
        <w:t xml:space="preserve"> beim Landratsamt Dingolfing-Landau ein.</w:t>
      </w:r>
      <w:r w:rsidR="002262C7" w:rsidRPr="001D56A2">
        <w:t xml:space="preserve"> </w:t>
      </w:r>
    </w:p>
    <w:p w:rsidR="00351046" w:rsidRDefault="00351046" w:rsidP="002262C7"/>
    <w:p w:rsidR="00351046" w:rsidRPr="00A66A9B" w:rsidRDefault="00351046" w:rsidP="00351046">
      <w:pPr>
        <w:tabs>
          <w:tab w:val="center" w:pos="4536"/>
          <w:tab w:val="right" w:pos="9072"/>
        </w:tabs>
      </w:pPr>
      <w:r w:rsidRPr="00A66A9B">
        <w:rPr>
          <w:szCs w:val="20"/>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66A9B">
        <w:rPr>
          <w:szCs w:val="20"/>
        </w:rPr>
        <w:t>Prüfwert</w:t>
      </w:r>
      <w:proofErr w:type="spellEnd"/>
      <w:r w:rsidRPr="00A66A9B">
        <w:rPr>
          <w:szCs w:val="20"/>
        </w:rPr>
        <w:t xml:space="preserve"> für die Vorprüfung erstmals oder erneut erreicht oder überschreitet und eine Vorprüfung ergibt, dass die Änderung erhebliche nachteilige Auswirkungen auf die Umwelt hervorrufen kann</w:t>
      </w:r>
      <w:r w:rsidRPr="00A66A9B">
        <w:t xml:space="preserve"> (§ 9 Abs. 2 Nr. 2 des Gesetzes über die Umweltverträglichkeitsprüfung (UVPG)).</w:t>
      </w:r>
    </w:p>
    <w:p w:rsidR="00351046" w:rsidRPr="00A66A9B" w:rsidRDefault="00351046" w:rsidP="00351046">
      <w:pPr>
        <w:tabs>
          <w:tab w:val="center" w:pos="4536"/>
          <w:tab w:val="right" w:pos="9072"/>
        </w:tabs>
      </w:pPr>
    </w:p>
    <w:p w:rsidR="00351046" w:rsidRPr="00A66A9B" w:rsidRDefault="00351046" w:rsidP="00351046">
      <w:pPr>
        <w:tabs>
          <w:tab w:val="center" w:pos="4536"/>
          <w:tab w:val="right" w:pos="9072"/>
        </w:tabs>
      </w:pPr>
      <w:r>
        <w:t>Nach Ziffer 2.6.1</w:t>
      </w:r>
      <w:r w:rsidRPr="00A66A9B">
        <w:t xml:space="preserve"> des Anhangs zum UVPG ist die Anl</w:t>
      </w:r>
      <w:r w:rsidR="00C80984">
        <w:t>age zum Brennen ker</w:t>
      </w:r>
      <w:r>
        <w:t>amischer Erzeugnisse</w:t>
      </w:r>
      <w:r w:rsidRPr="00A66A9B">
        <w:t xml:space="preserve"> </w:t>
      </w:r>
      <w:r w:rsidR="001842C1">
        <w:t xml:space="preserve">mit einer Produktionskapazität von 75 t oder mehr pro Tag </w:t>
      </w:r>
      <w:r w:rsidRPr="00A66A9B">
        <w:t>mit der Pflicht zu</w:t>
      </w:r>
      <w:r w:rsidR="00C80984">
        <w:t>r</w:t>
      </w:r>
      <w:r w:rsidRPr="00A66A9B">
        <w:t xml:space="preserve"> </w:t>
      </w:r>
      <w:r w:rsidR="00C80984">
        <w:t xml:space="preserve">Durchführung </w:t>
      </w:r>
      <w:r w:rsidRPr="00A66A9B">
        <w:t>einer allgemeinen Vorprüfung des Einzelfalles („A“) genannt.</w:t>
      </w:r>
    </w:p>
    <w:p w:rsidR="00351046" w:rsidRPr="00A66A9B" w:rsidRDefault="00351046" w:rsidP="00351046">
      <w:pPr>
        <w:tabs>
          <w:tab w:val="center" w:pos="4536"/>
          <w:tab w:val="right" w:pos="9072"/>
        </w:tabs>
      </w:pPr>
    </w:p>
    <w:p w:rsidR="00351046" w:rsidRPr="00A66A9B" w:rsidRDefault="00351046" w:rsidP="00351046">
      <w:pPr>
        <w:tabs>
          <w:tab w:val="center" w:pos="4536"/>
          <w:tab w:val="right" w:pos="9072"/>
        </w:tabs>
        <w:rPr>
          <w:b/>
        </w:rPr>
      </w:pPr>
      <w:r w:rsidRPr="00A66A9B">
        <w:rPr>
          <w:b/>
        </w:rPr>
        <w:t>Es wurde eine allgemeine Vorprüfung durchgeführt.</w:t>
      </w:r>
    </w:p>
    <w:p w:rsidR="00351046" w:rsidRPr="00A66A9B" w:rsidRDefault="00351046" w:rsidP="00351046">
      <w:pPr>
        <w:tabs>
          <w:tab w:val="center" w:pos="4536"/>
          <w:tab w:val="right" w:pos="9072"/>
        </w:tabs>
      </w:pPr>
    </w:p>
    <w:p w:rsidR="00351046" w:rsidRPr="00A66A9B" w:rsidRDefault="00351046" w:rsidP="00351046">
      <w:pPr>
        <w:tabs>
          <w:tab w:val="center" w:pos="4536"/>
          <w:tab w:val="right" w:pos="9072"/>
        </w:tabs>
      </w:pPr>
      <w:r w:rsidRPr="00A66A9B">
        <w:t>In den Antragsunt</w:t>
      </w:r>
      <w:r>
        <w:t xml:space="preserve">erlagen wurden durch die </w:t>
      </w:r>
      <w:proofErr w:type="spellStart"/>
      <w:r>
        <w:t>Girnghuber</w:t>
      </w:r>
      <w:proofErr w:type="spellEnd"/>
      <w:r>
        <w:t xml:space="preserve"> GmbH </w:t>
      </w:r>
      <w:r w:rsidRPr="00A66A9B">
        <w:t>die erforderlichen Unterlagen zur Durchführung der Vorprüfung vorgelegt.</w:t>
      </w:r>
    </w:p>
    <w:p w:rsidR="00351046" w:rsidRPr="00A66A9B" w:rsidRDefault="00351046" w:rsidP="00351046">
      <w:pPr>
        <w:tabs>
          <w:tab w:val="center" w:pos="4536"/>
          <w:tab w:val="right" w:pos="9072"/>
        </w:tabs>
      </w:pPr>
      <w:r w:rsidRPr="00A66A9B">
        <w:t>Die Maßnahme wurde nicht nur auf die standortbezogenen Kriterien geprüft (Anlage 3 Ziffer 2 UVPG), sondern auch auf die Art und die Merkmale der möglichen Auswirkungen.</w:t>
      </w:r>
    </w:p>
    <w:p w:rsidR="00351046" w:rsidRDefault="00351046" w:rsidP="002262C7"/>
    <w:p w:rsidR="00351046" w:rsidRPr="00351046" w:rsidRDefault="00351046" w:rsidP="00351046">
      <w:pPr>
        <w:tabs>
          <w:tab w:val="center" w:pos="4536"/>
          <w:tab w:val="right" w:pos="9072"/>
        </w:tabs>
      </w:pPr>
      <w:r w:rsidRPr="00351046">
        <w:t xml:space="preserve">Die Zusammenlegung der Werke 6 und 7 ergibt sich aus der Schaffung gemeinsamer Betriebseinrichtungen bzw. strukturellen oder organisatorischen Maßnahmen. Zusätzliche </w:t>
      </w:r>
      <w:r w:rsidRPr="00351046">
        <w:lastRenderedPageBreak/>
        <w:t xml:space="preserve">oder neue Auswirkungen auf die Schutzgüter erfolgen nicht. </w:t>
      </w:r>
      <w:r w:rsidR="00C80984">
        <w:t xml:space="preserve">Insbesondere aus immissionsschutzfachlicher Sicht kommt nichts Neues hinzu. </w:t>
      </w:r>
      <w:r w:rsidRPr="00351046">
        <w:t>Aus den Ausführungen und den Stellungnahmen der beteiligten Fachstellen haben sich daher keine Anhaltspunkte ergeben, dass die Zusammenlegung der beiden Werke zu einer gemeinsamen Anlage erhebliche nachteilige Auswirkungen auf die Schutzgüter haben kann.</w:t>
      </w:r>
    </w:p>
    <w:p w:rsidR="00351046" w:rsidRDefault="00351046" w:rsidP="002262C7">
      <w:r>
        <w:t>Durch die konkret erfolgenden Maßnahmen ergeben sich somit keine negativen Umweltauswirkungen. Die Durchführung einer vollumfänglichen Umweltverträglichkeitsprüfung ist nicht erforderlich.</w:t>
      </w:r>
    </w:p>
    <w:p w:rsidR="00351046" w:rsidRDefault="00351046" w:rsidP="002262C7"/>
    <w:p w:rsidR="00351046" w:rsidRDefault="00351046" w:rsidP="00351046">
      <w:pPr>
        <w:tabs>
          <w:tab w:val="left" w:pos="426"/>
          <w:tab w:val="left" w:pos="851"/>
        </w:tabs>
        <w:rPr>
          <w:szCs w:val="20"/>
        </w:rPr>
      </w:pPr>
      <w:r>
        <w:t>Diese Entscheidung wird im UVP-Portal</w:t>
      </w:r>
      <w:r w:rsidRPr="00351046">
        <w:rPr>
          <w:szCs w:val="20"/>
        </w:rPr>
        <w:t xml:space="preserve"> </w:t>
      </w:r>
      <w:r w:rsidRPr="00A66A9B">
        <w:rPr>
          <w:szCs w:val="20"/>
        </w:rPr>
        <w:t>Bayern öffentlich bekanntgemacht (§ 5 Abs. 2 UVPG).</w:t>
      </w:r>
    </w:p>
    <w:p w:rsidR="00351046" w:rsidRPr="00A66A9B" w:rsidRDefault="00351046" w:rsidP="00351046">
      <w:pPr>
        <w:tabs>
          <w:tab w:val="left" w:pos="426"/>
          <w:tab w:val="left" w:pos="851"/>
        </w:tabs>
        <w:rPr>
          <w:szCs w:val="20"/>
        </w:rPr>
      </w:pPr>
    </w:p>
    <w:p w:rsidR="00351046" w:rsidRPr="00A66A9B" w:rsidRDefault="00351046" w:rsidP="00351046">
      <w:pPr>
        <w:tabs>
          <w:tab w:val="left" w:pos="426"/>
          <w:tab w:val="left" w:pos="851"/>
        </w:tabs>
        <w:rPr>
          <w:szCs w:val="20"/>
        </w:rPr>
      </w:pPr>
      <w:r w:rsidRPr="00A66A9B">
        <w:rPr>
          <w:szCs w:val="20"/>
        </w:rPr>
        <w:t>Nähere Informationen erhalten Sie beim Landratsamt Dingolfing-Landau unter Tel.: 08731/87-224</w:t>
      </w:r>
    </w:p>
    <w:p w:rsidR="00351046" w:rsidRDefault="00351046" w:rsidP="00351046">
      <w:pPr>
        <w:tabs>
          <w:tab w:val="left" w:pos="426"/>
          <w:tab w:val="left" w:pos="851"/>
        </w:tabs>
        <w:rPr>
          <w:szCs w:val="20"/>
        </w:rPr>
      </w:pPr>
    </w:p>
    <w:p w:rsidR="00351046" w:rsidRDefault="00351046" w:rsidP="002262C7">
      <w:r>
        <w:t xml:space="preserve"> </w:t>
      </w:r>
    </w:p>
    <w:p w:rsidR="00351046" w:rsidRPr="00534AF3" w:rsidRDefault="00351046" w:rsidP="002262C7">
      <w:r>
        <w:t xml:space="preserve"> </w:t>
      </w:r>
    </w:p>
    <w:p w:rsidR="002262C7" w:rsidRPr="00FD3ED6" w:rsidRDefault="002262C7" w:rsidP="002262C7">
      <w:pPr>
        <w:pStyle w:val="Textkrper"/>
        <w:jc w:val="both"/>
        <w:rPr>
          <w:rFonts w:ascii="Times New Roman" w:hAnsi="Times New Roman"/>
          <w:sz w:val="28"/>
          <w:szCs w:val="28"/>
        </w:rPr>
      </w:pPr>
      <w:r w:rsidRPr="00FD3ED6">
        <w:rPr>
          <w:rFonts w:ascii="Times New Roman" w:hAnsi="Times New Roman"/>
          <w:sz w:val="28"/>
          <w:szCs w:val="28"/>
        </w:rPr>
        <w:t>Landratsamt Dingolfing-Landau</w:t>
      </w:r>
      <w:r w:rsidR="00351046">
        <w:rPr>
          <w:rFonts w:ascii="Times New Roman" w:hAnsi="Times New Roman"/>
          <w:sz w:val="28"/>
          <w:szCs w:val="28"/>
        </w:rPr>
        <w:t xml:space="preserve">, </w:t>
      </w:r>
    </w:p>
    <w:p w:rsidR="002262C7" w:rsidRPr="00FD3ED6" w:rsidRDefault="002262C7" w:rsidP="002262C7">
      <w:pPr>
        <w:pStyle w:val="Textkrper"/>
        <w:jc w:val="both"/>
        <w:rPr>
          <w:rFonts w:ascii="Times New Roman" w:hAnsi="Times New Roman"/>
          <w:sz w:val="28"/>
          <w:szCs w:val="28"/>
        </w:rPr>
      </w:pPr>
      <w:r w:rsidRPr="00FD3ED6">
        <w:rPr>
          <w:rFonts w:ascii="Times New Roman" w:hAnsi="Times New Roman"/>
          <w:sz w:val="28"/>
          <w:szCs w:val="28"/>
        </w:rPr>
        <w:t>SG 42</w:t>
      </w:r>
      <w:r w:rsidR="00844460">
        <w:rPr>
          <w:rFonts w:ascii="Times New Roman" w:hAnsi="Times New Roman"/>
          <w:sz w:val="28"/>
          <w:szCs w:val="28"/>
        </w:rPr>
        <w:t>, 14</w:t>
      </w:r>
      <w:bookmarkStart w:id="0" w:name="_GoBack"/>
      <w:bookmarkEnd w:id="0"/>
      <w:r w:rsidR="001842C1">
        <w:rPr>
          <w:rFonts w:ascii="Times New Roman" w:hAnsi="Times New Roman"/>
          <w:sz w:val="28"/>
          <w:szCs w:val="28"/>
        </w:rPr>
        <w:t>.10.2022</w:t>
      </w:r>
    </w:p>
    <w:p w:rsidR="002262C7" w:rsidRDefault="002262C7" w:rsidP="002262C7">
      <w:pPr>
        <w:pStyle w:val="Textkrper"/>
        <w:jc w:val="both"/>
        <w:rPr>
          <w:rFonts w:ascii="Times New Roman" w:hAnsi="Times New Roman"/>
          <w:sz w:val="28"/>
          <w:szCs w:val="28"/>
        </w:rPr>
      </w:pPr>
    </w:p>
    <w:p w:rsidR="001842C1" w:rsidRDefault="001842C1" w:rsidP="002262C7">
      <w:pPr>
        <w:pStyle w:val="Textkrper"/>
        <w:jc w:val="both"/>
        <w:rPr>
          <w:rFonts w:ascii="Times New Roman" w:hAnsi="Times New Roman"/>
          <w:sz w:val="28"/>
          <w:szCs w:val="28"/>
        </w:rPr>
      </w:pPr>
    </w:p>
    <w:p w:rsidR="001842C1" w:rsidRDefault="001842C1" w:rsidP="002262C7">
      <w:pPr>
        <w:pStyle w:val="Textkrper"/>
        <w:jc w:val="both"/>
        <w:rPr>
          <w:rFonts w:ascii="Times New Roman" w:hAnsi="Times New Roman"/>
          <w:sz w:val="28"/>
          <w:szCs w:val="28"/>
        </w:rPr>
      </w:pPr>
    </w:p>
    <w:p w:rsidR="002262C7" w:rsidRDefault="002262C7" w:rsidP="002262C7">
      <w:pPr>
        <w:pStyle w:val="Textkrper"/>
        <w:jc w:val="both"/>
        <w:rPr>
          <w:rFonts w:ascii="Times New Roman" w:hAnsi="Times New Roman"/>
          <w:sz w:val="28"/>
          <w:szCs w:val="28"/>
        </w:rPr>
      </w:pPr>
      <w:r w:rsidRPr="00FD3ED6">
        <w:rPr>
          <w:rFonts w:ascii="Times New Roman" w:hAnsi="Times New Roman"/>
          <w:sz w:val="28"/>
          <w:szCs w:val="28"/>
        </w:rPr>
        <w:t>Kerstin Kameter-Schenkl</w:t>
      </w:r>
    </w:p>
    <w:p w:rsidR="002262C7" w:rsidRDefault="002262C7" w:rsidP="002262C7">
      <w:pPr>
        <w:pStyle w:val="Textkrper"/>
        <w:jc w:val="both"/>
        <w:rPr>
          <w:rFonts w:ascii="Times New Roman" w:hAnsi="Times New Roman"/>
          <w:sz w:val="28"/>
          <w:szCs w:val="28"/>
        </w:rPr>
      </w:pPr>
    </w:p>
    <w:p w:rsidR="002262C7" w:rsidRPr="00AE4EC3" w:rsidRDefault="002262C7" w:rsidP="002262C7">
      <w:pPr>
        <w:pStyle w:val="Textkrper"/>
        <w:jc w:val="both"/>
        <w:rPr>
          <w:rFonts w:ascii="Times New Roman" w:hAnsi="Times New Roman"/>
          <w:sz w:val="28"/>
          <w:szCs w:val="28"/>
        </w:rPr>
      </w:pPr>
      <w:r w:rsidRPr="00FD3ED6">
        <w:rPr>
          <w:rFonts w:ascii="Times New Roman" w:hAnsi="Times New Roman"/>
          <w:b/>
          <w:sz w:val="24"/>
          <w:szCs w:val="24"/>
        </w:rPr>
        <w:t>II. Z.A.</w:t>
      </w:r>
    </w:p>
    <w:p w:rsidR="005E62FC" w:rsidRDefault="005E62FC"/>
    <w:sectPr w:rsidR="005E6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C7"/>
    <w:rsid w:val="00153D1E"/>
    <w:rsid w:val="001842C1"/>
    <w:rsid w:val="00224479"/>
    <w:rsid w:val="002262C7"/>
    <w:rsid w:val="002930FD"/>
    <w:rsid w:val="00351046"/>
    <w:rsid w:val="00376FCB"/>
    <w:rsid w:val="003E7C8A"/>
    <w:rsid w:val="00520BB1"/>
    <w:rsid w:val="005E62FC"/>
    <w:rsid w:val="00640919"/>
    <w:rsid w:val="00830C68"/>
    <w:rsid w:val="008409C2"/>
    <w:rsid w:val="008415C3"/>
    <w:rsid w:val="00844460"/>
    <w:rsid w:val="008D6C06"/>
    <w:rsid w:val="00906DC7"/>
    <w:rsid w:val="00965D72"/>
    <w:rsid w:val="00974BAA"/>
    <w:rsid w:val="0098770C"/>
    <w:rsid w:val="009A01E0"/>
    <w:rsid w:val="009C1713"/>
    <w:rsid w:val="00AC613F"/>
    <w:rsid w:val="00B12F35"/>
    <w:rsid w:val="00BA50FD"/>
    <w:rsid w:val="00BC7203"/>
    <w:rsid w:val="00C425D7"/>
    <w:rsid w:val="00C80984"/>
    <w:rsid w:val="00DC5506"/>
    <w:rsid w:val="00EE6F1E"/>
    <w:rsid w:val="00EE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950254"/>
  <w15:docId w15:val="{7DFAF887-9D52-4D33-803D-8A29F907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62C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262C7"/>
    <w:rPr>
      <w:rFonts w:ascii="Arial" w:hAnsi="Arial"/>
      <w:kern w:val="16"/>
      <w:sz w:val="22"/>
      <w:szCs w:val="20"/>
    </w:rPr>
  </w:style>
  <w:style w:type="character" w:customStyle="1" w:styleId="TextkrperZchn">
    <w:name w:val="Textkörper Zchn"/>
    <w:basedOn w:val="Absatz-Standardschriftart"/>
    <w:link w:val="Textkrper"/>
    <w:rsid w:val="002262C7"/>
    <w:rPr>
      <w:rFonts w:ascii="Arial" w:hAnsi="Arial"/>
      <w:kern w:val="16"/>
      <w:sz w:val="22"/>
    </w:rPr>
  </w:style>
  <w:style w:type="paragraph" w:styleId="Kopfzeile">
    <w:name w:val="header"/>
    <w:basedOn w:val="Standard"/>
    <w:link w:val="KopfzeileZchn"/>
    <w:rsid w:val="002262C7"/>
    <w:pPr>
      <w:tabs>
        <w:tab w:val="center" w:pos="4536"/>
        <w:tab w:val="right" w:pos="9072"/>
      </w:tabs>
    </w:pPr>
    <w:rPr>
      <w:szCs w:val="20"/>
    </w:rPr>
  </w:style>
  <w:style w:type="character" w:customStyle="1" w:styleId="KopfzeileZchn">
    <w:name w:val="Kopfzeile Zchn"/>
    <w:basedOn w:val="Absatz-Standardschriftart"/>
    <w:link w:val="Kopfzeile"/>
    <w:rsid w:val="002262C7"/>
    <w:rPr>
      <w:sz w:val="24"/>
    </w:rPr>
  </w:style>
  <w:style w:type="paragraph" w:styleId="Aufzhlungszeichen">
    <w:name w:val="List Bullet"/>
    <w:basedOn w:val="Standard"/>
    <w:autoRedefine/>
    <w:rsid w:val="00224479"/>
    <w:rPr>
      <w:szCs w:val="20"/>
    </w:rPr>
  </w:style>
  <w:style w:type="paragraph" w:styleId="Sprechblasentext">
    <w:name w:val="Balloon Text"/>
    <w:basedOn w:val="Standard"/>
    <w:link w:val="SprechblasentextZchn"/>
    <w:semiHidden/>
    <w:unhideWhenUsed/>
    <w:rsid w:val="00844460"/>
    <w:rPr>
      <w:rFonts w:ascii="Segoe UI" w:hAnsi="Segoe UI" w:cs="Segoe UI"/>
      <w:sz w:val="18"/>
      <w:szCs w:val="18"/>
    </w:rPr>
  </w:style>
  <w:style w:type="character" w:customStyle="1" w:styleId="SprechblasentextZchn">
    <w:name w:val="Sprechblasentext Zchn"/>
    <w:basedOn w:val="Absatz-Standardschriftart"/>
    <w:link w:val="Sprechblasentext"/>
    <w:semiHidden/>
    <w:rsid w:val="00844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1</cp:revision>
  <cp:lastPrinted>2022-10-14T05:36:00Z</cp:lastPrinted>
  <dcterms:created xsi:type="dcterms:W3CDTF">2022-09-30T08:13:00Z</dcterms:created>
  <dcterms:modified xsi:type="dcterms:W3CDTF">2022-10-14T05:37:00Z</dcterms:modified>
</cp:coreProperties>
</file>