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ind w:right="-286"/>
        <w:rPr>
          <w:rFonts w:eastAsia="Times New Roman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color w:val="auto"/>
          <w:sz w:val="20"/>
          <w:szCs w:val="20"/>
          <w:lang w:eastAsia="de-DE"/>
        </w:rPr>
        <w:t>AZ: 22-1711/1</w:t>
      </w:r>
    </w:p>
    <w:p>
      <w:pPr>
        <w:spacing w:line="240" w:lineRule="auto"/>
        <w:ind w:right="-286"/>
        <w:jc w:val="both"/>
        <w:rPr>
          <w:rFonts w:eastAsia="Times New Roman" w:cs="Arial"/>
          <w:color w:val="auto"/>
          <w:sz w:val="20"/>
          <w:szCs w:val="20"/>
          <w:lang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b/>
          <w:color w:val="auto"/>
          <w:sz w:val="20"/>
          <w:szCs w:val="20"/>
          <w:lang w:eastAsia="de-DE"/>
        </w:rPr>
      </w:pPr>
      <w:r>
        <w:rPr>
          <w:rFonts w:eastAsia="Times New Roman" w:cs="Arial"/>
          <w:b/>
          <w:color w:val="auto"/>
          <w:sz w:val="20"/>
          <w:szCs w:val="20"/>
          <w:lang w:eastAsia="de-DE"/>
        </w:rPr>
        <w:t xml:space="preserve">Vollzug der Immissionsschutzgesetze und des Gesetzes über die </w:t>
      </w:r>
    </w:p>
    <w:p>
      <w:pPr>
        <w:spacing w:line="240" w:lineRule="auto"/>
        <w:ind w:right="-286"/>
        <w:jc w:val="both"/>
        <w:rPr>
          <w:rFonts w:eastAsia="Times" w:cs="Arial"/>
          <w:color w:val="auto"/>
          <w:sz w:val="20"/>
          <w:szCs w:val="20"/>
          <w:lang w:eastAsia="de-DE"/>
        </w:rPr>
      </w:pPr>
      <w:r>
        <w:rPr>
          <w:rFonts w:eastAsia="Times New Roman" w:cs="Arial"/>
          <w:b/>
          <w:color w:val="auto"/>
          <w:sz w:val="20"/>
          <w:szCs w:val="20"/>
          <w:lang w:eastAsia="de-DE"/>
        </w:rPr>
        <w:t xml:space="preserve">Umweltverträglichkeitsprüfung (UVPG); </w:t>
      </w:r>
    </w:p>
    <w:p>
      <w:pPr>
        <w:spacing w:line="240" w:lineRule="auto"/>
        <w:ind w:right="-286"/>
        <w:jc w:val="both"/>
        <w:rPr>
          <w:rFonts w:eastAsia="Times" w:cs="Arial"/>
          <w:color w:val="auto"/>
          <w:sz w:val="20"/>
          <w:szCs w:val="20"/>
          <w:lang w:eastAsia="de-DE"/>
        </w:rPr>
      </w:pPr>
    </w:p>
    <w:p>
      <w:pPr>
        <w:spacing w:line="240" w:lineRule="auto"/>
        <w:ind w:right="-286"/>
        <w:jc w:val="both"/>
        <w:rPr>
          <w:rFonts w:eastAsia="Times" w:cs="Arial"/>
          <w:color w:val="auto"/>
          <w:sz w:val="20"/>
          <w:szCs w:val="20"/>
          <w:lang w:eastAsia="de-DE"/>
        </w:rPr>
      </w:pPr>
      <w:r>
        <w:rPr>
          <w:rFonts w:eastAsia="Times" w:cs="Arial"/>
          <w:color w:val="auto"/>
          <w:sz w:val="20"/>
          <w:szCs w:val="20"/>
          <w:lang w:eastAsia="de-DE"/>
        </w:rPr>
        <w:t>Wesentliche Änderung der bestehenden Lohndestillationsanlage mit Chemikalienlagerung und Labors auf den Fl. Nrn. 377 Tlfl., 377/1 Tlfl., 386/1 Tlfl. sowie 400 Tlfl. der Gemarkung und Gemeinde Niederwinkling durch die Errichtung und den Betrieb eines Gefahrstofflagers auf der Fl. Nr. 377 Tlfl. durch die VTA Verfahrenstechnische Anlagen GmbH &amp; Co. KG, Bernrieder Str. 10, 94559 Niederwinkling</w:t>
      </w:r>
    </w:p>
    <w:p>
      <w:pPr>
        <w:spacing w:line="240" w:lineRule="auto"/>
        <w:ind w:right="-286"/>
        <w:jc w:val="both"/>
        <w:rPr>
          <w:rFonts w:eastAsia="Times New Roman" w:cs="Arial"/>
          <w:color w:val="auto"/>
          <w:sz w:val="20"/>
          <w:szCs w:val="20"/>
          <w:lang w:eastAsia="de-DE"/>
        </w:rPr>
      </w:pPr>
    </w:p>
    <w:p>
      <w:pPr>
        <w:shd w:val="pct15" w:color="000000" w:fill="FFFFFF"/>
        <w:spacing w:line="240" w:lineRule="auto"/>
        <w:ind w:left="2268" w:right="1982"/>
        <w:jc w:val="both"/>
        <w:rPr>
          <w:rFonts w:eastAsia="Times New Roman" w:cs="Arial"/>
          <w:color w:val="auto"/>
          <w:sz w:val="20"/>
          <w:szCs w:val="20"/>
          <w:lang w:eastAsia="de-DE"/>
        </w:rPr>
      </w:pPr>
    </w:p>
    <w:p>
      <w:pPr>
        <w:keepNext/>
        <w:shd w:val="pct15" w:color="000000" w:fill="FFFFFF"/>
        <w:spacing w:line="240" w:lineRule="auto"/>
        <w:ind w:left="2268" w:right="1982"/>
        <w:jc w:val="center"/>
        <w:outlineLvl w:val="0"/>
        <w:rPr>
          <w:rFonts w:eastAsia="Times New Roman" w:cs="Arial"/>
          <w:b/>
          <w:color w:val="auto"/>
          <w:sz w:val="20"/>
          <w:szCs w:val="20"/>
          <w:u w:val="single"/>
          <w:lang w:val="it-IT" w:eastAsia="de-DE"/>
        </w:rPr>
      </w:pPr>
      <w:r>
        <w:rPr>
          <w:rFonts w:eastAsia="Times New Roman" w:cs="Arial"/>
          <w:b/>
          <w:color w:val="auto"/>
          <w:sz w:val="20"/>
          <w:szCs w:val="20"/>
          <w:u w:val="single"/>
          <w:lang w:val="it-IT" w:eastAsia="de-DE"/>
        </w:rPr>
        <w:t>B E K A N N T G A B E:</w:t>
      </w:r>
    </w:p>
    <w:p>
      <w:pPr>
        <w:shd w:val="pct15" w:color="000000" w:fill="FFFFFF"/>
        <w:tabs>
          <w:tab w:val="left" w:pos="2662"/>
        </w:tabs>
        <w:spacing w:line="240" w:lineRule="auto"/>
        <w:ind w:left="2268" w:right="1982"/>
        <w:jc w:val="both"/>
        <w:rPr>
          <w:rFonts w:eastAsia="Times New Roman" w:cs="Arial"/>
          <w:color w:val="auto"/>
          <w:sz w:val="20"/>
          <w:szCs w:val="20"/>
          <w:lang w:val="it-IT" w:eastAsia="de-DE"/>
        </w:rPr>
      </w:pPr>
      <w:r>
        <w:rPr>
          <w:rFonts w:eastAsia="Times New Roman" w:cs="Arial"/>
          <w:color w:val="auto"/>
          <w:sz w:val="20"/>
          <w:szCs w:val="20"/>
          <w:lang w:val="it-IT" w:eastAsia="de-DE"/>
        </w:rPr>
        <w:tab/>
      </w:r>
    </w:p>
    <w:p>
      <w:pPr>
        <w:spacing w:line="360" w:lineRule="auto"/>
        <w:ind w:right="-284"/>
        <w:jc w:val="both"/>
        <w:rPr>
          <w:rFonts w:eastAsia="Times New Roman" w:cs="Arial"/>
          <w:sz w:val="20"/>
          <w:szCs w:val="20"/>
          <w:u w:val="single"/>
          <w:lang w:eastAsia="de-DE"/>
        </w:rPr>
      </w:pPr>
      <w:r>
        <w:rPr>
          <w:rFonts w:cs="Arial"/>
          <w:sz w:val="20"/>
          <w:szCs w:val="20"/>
          <w:u w:val="single"/>
        </w:rPr>
        <w:t>1. Allgemeine Vorbemerkungen</w:t>
      </w: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VTA Verfahrenstechnische Anlagen GmbH &amp; Co. KG beantragt bei der Immissionsschutzbehörde die wesentliche Änderung der bestehenden Lohndestillationsanlage mit Chemikalienlagerung und Labors (Nrn. 4.8 und 9.3.2 des Anhangs zu § 1 der 4. BImSchV) durch die Errichtung und den Betrieb eines Gefahrstofflagers.</w:t>
      </w: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Für das beantragte Änderungsvorhaben ist entsprechend § 9 Abs. 2 Nr. 2 UVPG i.V.m. Nr. 9.3.3 Anlage 1 zum UVPG eine standortbezogene Vorprüfung des Einzelfalls nach Maßgabe des § 7 Abs. 2, Abs. 4 bis 7 UVPG auf UVP Pflicht durchzuführen. Die standortbezogene Vorprüfung wird in zwei Stufen durchgeführt. </w:t>
      </w:r>
    </w:p>
    <w:p>
      <w:pPr>
        <w:contextualSpacing/>
        <w:jc w:val="both"/>
        <w:rPr>
          <w:rFonts w:cs="Arial"/>
          <w:sz w:val="20"/>
          <w:szCs w:val="20"/>
        </w:rPr>
      </w:pP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Zunächst wird geprüft ob besondere örtliche Gegebenheiten gemäß den in Nr. 2.3 Anlage 3 des UVPG aufgeführten Schutzkriterien vorliegen. Sollten besondere örtliche Gegebenheiten vorliegen, wird in der zweiten Stufe unter Berücksichtigung der in Anlage 3 des UVPG aufgeführten Kriterien geprüft, ob das Vorhaben erhebliche nachteilige Umweltauswirkungen haben kann, die die besondere Empfindlichkeit des Gebiets betreffen und bei der Zulassungsentscheidung zu berücksichtigen wären.</w:t>
      </w:r>
    </w:p>
    <w:p>
      <w:pPr>
        <w:contextualSpacing/>
        <w:jc w:val="both"/>
        <w:rPr>
          <w:rFonts w:cs="Arial"/>
          <w:sz w:val="20"/>
          <w:szCs w:val="20"/>
        </w:rPr>
      </w:pPr>
    </w:p>
    <w:p>
      <w:pPr>
        <w:spacing w:line="360" w:lineRule="auto"/>
        <w:contextualSpacing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2. Merkmale des Vorhabens</w:t>
      </w: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Fa. VTA betreibt in Niederwinkling eine gem. § 4 BImSchG i.V.m. Nr. 4.8 V Anhang 1 der 4. BImSchV genehmigungsbedürftige Lohndestillation.</w:t>
      </w: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aktuell vorliegende Antrag bezieht sich auf ein neu zu errichtendes Gefahrst</w:t>
      </w:r>
      <w:r>
        <w:rPr>
          <w:rFonts w:cs="Arial"/>
          <w:sz w:val="20"/>
          <w:szCs w:val="20"/>
        </w:rPr>
        <w:t>offlager. Durch die beantragte w</w:t>
      </w:r>
      <w:r>
        <w:rPr>
          <w:rFonts w:cs="Arial"/>
          <w:sz w:val="20"/>
          <w:szCs w:val="20"/>
        </w:rPr>
        <w:t>esentliche Änderung erhöht sich die Gefahrstofflagermenge. Die zusätzlichen Lagermengen sollen in dem neu zu errichtenden Gefahrstofflager unterkommen. Das Lager soll östlich eines bestehenden Containerlagers (Bauteil E) errichtet und als Bauteil H bezeichnet werden. Es hat eine Grundfläche von 1264 m² und wird in vier gleich große Lagerabschnitte mit jeweils sechs Lagerbereichen unterteilt. Jeder Lagerbereich besteht aus 36 Palettenstellplätzen. Auf den insgesamt 864 Palettenstellplätzen werden Gebinde mit einem Volumen von max. 1 m³ gelagert. Das Lager wird durchgehend betrieben, wobei sich die Ver- und Entladung von LKWs auf die Tagzeit beschränkt.</w:t>
      </w:r>
    </w:p>
    <w:p>
      <w:pPr>
        <w:spacing w:line="240" w:lineRule="auto"/>
        <w:ind w:right="-286"/>
        <w:jc w:val="both"/>
        <w:rPr>
          <w:rFonts w:cs="Arial"/>
          <w:sz w:val="20"/>
          <w:szCs w:val="20"/>
        </w:rPr>
      </w:pPr>
    </w:p>
    <w:p>
      <w:pPr>
        <w:spacing w:line="360" w:lineRule="auto"/>
        <w:ind w:right="-284"/>
        <w:jc w:val="both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color w:val="auto"/>
          <w:sz w:val="20"/>
          <w:szCs w:val="20"/>
          <w:u w:val="single"/>
        </w:rPr>
        <w:t>3. Standortbezogene Vorprüfung</w:t>
      </w:r>
    </w:p>
    <w:p>
      <w:pPr>
        <w:pStyle w:val="Listenabsatz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color w:val="3B3B3A" w:themeColor="text1"/>
          <w:sz w:val="20"/>
          <w:szCs w:val="20"/>
        </w:rPr>
      </w:pPr>
      <w:r>
        <w:rPr>
          <w:rFonts w:ascii="Arial" w:hAnsi="Arial" w:cs="Arial"/>
          <w:b/>
          <w:color w:val="3B3B3A" w:themeColor="text1"/>
          <w:sz w:val="20"/>
          <w:szCs w:val="20"/>
        </w:rPr>
        <w:t>Gebiete, in denen die in Vorschriften der Europäischen Union festgelegten Umweltqualitätsnormen bereits überschritten sind</w:t>
      </w:r>
      <w:r>
        <w:rPr>
          <w:rFonts w:ascii="Arial" w:hAnsi="Arial" w:cs="Arial"/>
          <w:b/>
          <w:color w:val="3B3B3A" w:themeColor="text1"/>
          <w:sz w:val="20"/>
          <w:szCs w:val="20"/>
        </w:rPr>
        <w:t>:</w:t>
      </w:r>
    </w:p>
    <w:p>
      <w:pPr>
        <w:pStyle w:val="Listenabsatz"/>
        <w:ind w:left="0"/>
        <w:jc w:val="both"/>
        <w:rPr>
          <w:rFonts w:ascii="Arial" w:hAnsi="Arial" w:cs="Arial"/>
          <w:color w:val="3B3B3A" w:themeColor="text1"/>
          <w:sz w:val="20"/>
          <w:szCs w:val="20"/>
        </w:rPr>
      </w:pPr>
      <w:r>
        <w:rPr>
          <w:rFonts w:ascii="Arial" w:hAnsi="Arial" w:cs="Arial"/>
          <w:color w:val="3B3B3A" w:themeColor="text1"/>
          <w:sz w:val="20"/>
          <w:szCs w:val="20"/>
        </w:rPr>
        <w:t>Es handelt sich um kein Gebiet, in dem die in den Vorschriften der Europäischen Union festgelegten Umweltqualitätsnormen überschritten sind.</w:t>
      </w:r>
    </w:p>
    <w:p>
      <w:pPr>
        <w:spacing w:line="360" w:lineRule="auto"/>
        <w:ind w:right="-284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Wasserrecht:</w:t>
      </w:r>
    </w:p>
    <w:p>
      <w:p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Wasserschutzgebiete nach § 51 WHG, Heilquellenschutzgebiete nach § 53 Abs. 4 WHG, Risikogebiete nach § 73 Abs. 1 WHG sowie Überschwemmungsgebiete nach § 76 WHG sind vom Vorhaben nicht betroffen.</w:t>
      </w:r>
    </w:p>
    <w:p>
      <w:pPr>
        <w:spacing w:line="360" w:lineRule="auto"/>
        <w:ind w:right="-284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lastRenderedPageBreak/>
        <w:t>Gebiete mit hoher Bevölkerungsdichte:</w:t>
      </w:r>
    </w:p>
    <w:p>
      <w:pPr>
        <w:pStyle w:val="Listenabsatz"/>
        <w:ind w:left="0" w:right="-286"/>
        <w:jc w:val="both"/>
        <w:rPr>
          <w:rFonts w:ascii="Arial" w:hAnsi="Arial" w:cs="Arial"/>
          <w:b/>
          <w:color w:val="3B3B3A" w:themeColor="text1"/>
          <w:sz w:val="20"/>
          <w:szCs w:val="20"/>
        </w:rPr>
      </w:pPr>
      <w:r>
        <w:rPr>
          <w:rFonts w:ascii="Arial" w:hAnsi="Arial" w:cs="Arial"/>
          <w:color w:val="3B3B3A" w:themeColor="text1"/>
          <w:sz w:val="20"/>
          <w:szCs w:val="20"/>
        </w:rPr>
        <w:t xml:space="preserve">Bei der Gemeinde Niederwinkling handelt es </w:t>
      </w:r>
      <w:r>
        <w:rPr>
          <w:rFonts w:ascii="Arial" w:hAnsi="Arial" w:cs="Arial"/>
          <w:color w:val="3B3B3A" w:themeColor="text1"/>
          <w:sz w:val="20"/>
          <w:szCs w:val="20"/>
        </w:rPr>
        <w:t xml:space="preserve">sich um keinen Ort mit hoher Bevölkerungsdichte. Es liegt insbesondere kein Zentraler Ort im Sinne des § 2 Abs. 2 Nr. 2 des Raumordnungsgesetzes vor. </w:t>
      </w:r>
    </w:p>
    <w:p>
      <w:pPr>
        <w:spacing w:line="240" w:lineRule="auto"/>
        <w:ind w:right="-286"/>
        <w:contextualSpacing/>
        <w:jc w:val="both"/>
        <w:rPr>
          <w:rFonts w:cs="Arial"/>
          <w:b/>
          <w:sz w:val="20"/>
          <w:szCs w:val="20"/>
        </w:rPr>
      </w:pPr>
    </w:p>
    <w:p>
      <w:pPr>
        <w:spacing w:line="360" w:lineRule="auto"/>
        <w:ind w:right="-284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Denkmalschutz:</w:t>
      </w:r>
    </w:p>
    <w:p>
      <w:pPr>
        <w:spacing w:line="240" w:lineRule="auto"/>
        <w:ind w:right="-286"/>
        <w:contextualSpacing/>
        <w:jc w:val="both"/>
        <w:rPr>
          <w:rFonts w:cs="Arial"/>
          <w:color w:val="0070C0"/>
          <w:sz w:val="20"/>
          <w:szCs w:val="20"/>
        </w:rPr>
      </w:pPr>
      <w:r>
        <w:rPr>
          <w:rFonts w:cs="Arial"/>
          <w:sz w:val="20"/>
          <w:szCs w:val="20"/>
        </w:rPr>
        <w:t>Es sind keine in amtlichen Listen oder Karten verzeichneten Denkmäler, Denkmalensembles, Bodendenkmäler oder Gebiete, die von der durch die Länder bestimmten Denkmalschutzbehörde als archäo</w:t>
      </w:r>
      <w:r>
        <w:rPr>
          <w:rFonts w:cs="Arial"/>
          <w:sz w:val="20"/>
          <w:szCs w:val="20"/>
        </w:rPr>
        <w:t>logisch bedeutende </w:t>
      </w:r>
      <w:r>
        <w:rPr>
          <w:rFonts w:cs="Arial"/>
          <w:sz w:val="20"/>
          <w:szCs w:val="20"/>
        </w:rPr>
        <w:t>Landschaften eingestuft worden sind, betroffen.</w:t>
      </w:r>
      <w:r>
        <w:rPr>
          <w:rFonts w:cs="Arial"/>
          <w:sz w:val="20"/>
          <w:szCs w:val="20"/>
        </w:rPr>
        <w:br/>
      </w:r>
    </w:p>
    <w:p>
      <w:pPr>
        <w:spacing w:line="360" w:lineRule="auto"/>
        <w:ind w:right="-284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Naturschutz: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Natura2000-Gebiet: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FFH-Gebiet Donauauen zwischen Straubing und Vilshofen ca. 1,5 km südlich; keine negativen Umweltauswirkungen </w:t>
      </w:r>
      <w:r>
        <w:rPr>
          <w:rFonts w:ascii="Arial" w:hAnsi="Arial" w:cs="Arial"/>
          <w:sz w:val="20"/>
          <w:szCs w:val="20"/>
        </w:rPr>
        <w:t>auf die</w:t>
      </w:r>
      <w:r>
        <w:rPr>
          <w:rFonts w:ascii="Arial" w:hAnsi="Arial" w:cs="Arial"/>
          <w:sz w:val="20"/>
          <w:szCs w:val="20"/>
        </w:rPr>
        <w:t xml:space="preserve"> Natura2000-Gebiete bzw. deren Erhaltungsziele erkennbar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Naturschutzgebiete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vorhanden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Nationalpark/nationale Naturmonumente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vorhanden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Biosphärenreservate/Landschaftsschutzgebiete: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ca. 500 m Entfernung grenzt das Landschaftsschutzgebiet Bayerischer Wald an, keine nachteiligen Umweltauswirkungen erkennbar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Naturdenkmäler: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vorhanden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Naturdenkmäler: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vorhanden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Geschützte Landschaftsbestandteile: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vor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handen</w:t>
      </w:r>
    </w:p>
    <w:p>
      <w:pPr>
        <w:pStyle w:val="Listenabsatz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Gesetzlich geschützte Biotope:</w:t>
      </w:r>
    </w:p>
    <w:p>
      <w:pPr>
        <w:pStyle w:val="Listenabsatz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Umkreis des Vorhabens befinden sich gesetzlich geschützte </w:t>
      </w:r>
      <w:r>
        <w:rPr>
          <w:rFonts w:ascii="Arial" w:hAnsi="Arial" w:cs="Arial"/>
          <w:sz w:val="20"/>
          <w:szCs w:val="20"/>
        </w:rPr>
        <w:t>Biotope.</w:t>
      </w:r>
      <w:r>
        <w:rPr>
          <w:rFonts w:ascii="Arial" w:hAnsi="Arial" w:cs="Arial"/>
          <w:sz w:val="20"/>
          <w:szCs w:val="20"/>
        </w:rPr>
        <w:t xml:space="preserve"> Es handelt sich bei diesen Biotopen nicht um stickstoffsensible Biotope. Negative </w:t>
      </w:r>
      <w:r>
        <w:rPr>
          <w:rFonts w:ascii="Arial" w:hAnsi="Arial" w:cs="Arial"/>
          <w:sz w:val="20"/>
          <w:szCs w:val="20"/>
        </w:rPr>
        <w:t>Umwelta</w:t>
      </w:r>
      <w:r>
        <w:rPr>
          <w:rFonts w:ascii="Arial" w:hAnsi="Arial" w:cs="Arial"/>
          <w:sz w:val="20"/>
          <w:szCs w:val="20"/>
        </w:rPr>
        <w:t>uswirkungen auf die Biotope können ausgeschlossen werden.</w:t>
      </w:r>
    </w:p>
    <w:p>
      <w:pPr>
        <w:ind w:firstLine="708"/>
        <w:jc w:val="both"/>
        <w:rPr>
          <w:rFonts w:cs="Arial"/>
          <w:color w:val="auto"/>
          <w:sz w:val="20"/>
          <w:szCs w:val="20"/>
        </w:rPr>
      </w:pPr>
    </w:p>
    <w:p>
      <w:pPr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Aus naturschutzfachlicher Sicht lassen sich im Rahmen einer standortbezogenen Vorprüfung keine nachteiligen oder zusätzlichen Umweltauswirkungen erkennen. </w:t>
      </w:r>
    </w:p>
    <w:p>
      <w:pPr>
        <w:jc w:val="both"/>
        <w:rPr>
          <w:rFonts w:cs="Arial"/>
          <w:color w:val="auto"/>
          <w:sz w:val="20"/>
          <w:szCs w:val="20"/>
        </w:rPr>
      </w:pPr>
    </w:p>
    <w:p>
      <w:pPr>
        <w:spacing w:line="360" w:lineRule="auto"/>
        <w:ind w:right="-284"/>
        <w:jc w:val="both"/>
        <w:rPr>
          <w:rFonts w:cs="Arial"/>
          <w:color w:val="auto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4. Ergebnis</w:t>
      </w:r>
    </w:p>
    <w:p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standortbezogene Vorprüfung ergab in der ersten Stufe, dass im weiteren Umkreis des Vorhabens zwar zum Teil besondere örtliche Gegebenheiten gemäß Nr. 2.3 der Anlage 3 zum UVPG vorliegen, das Vorhaben </w:t>
      </w:r>
      <w:r>
        <w:rPr>
          <w:rFonts w:cs="Arial"/>
          <w:sz w:val="20"/>
          <w:szCs w:val="20"/>
        </w:rPr>
        <w:t>hat</w:t>
      </w:r>
      <w:r>
        <w:rPr>
          <w:rFonts w:cs="Arial"/>
          <w:sz w:val="20"/>
          <w:szCs w:val="20"/>
        </w:rPr>
        <w:t xml:space="preserve"> jedoch keine nachteiligen Umweltauswirkungen </w:t>
      </w:r>
      <w:r>
        <w:rPr>
          <w:rFonts w:cs="Arial"/>
          <w:sz w:val="20"/>
          <w:szCs w:val="20"/>
        </w:rPr>
        <w:t>auf diese</w:t>
      </w:r>
      <w:r>
        <w:rPr>
          <w:rFonts w:cs="Arial"/>
          <w:sz w:val="20"/>
          <w:szCs w:val="20"/>
        </w:rPr>
        <w:t>. Eine UVP-Pflicht liegt somit nicht vor.</w:t>
      </w:r>
    </w:p>
    <w:p>
      <w:pPr>
        <w:spacing w:line="240" w:lineRule="auto"/>
        <w:ind w:right="-286"/>
        <w:jc w:val="both"/>
        <w:rPr>
          <w:rFonts w:eastAsia="Times New Roman" w:cs="Arial"/>
          <w:color w:val="auto"/>
          <w:sz w:val="20"/>
          <w:szCs w:val="20"/>
          <w:u w:val="single"/>
          <w:lang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>Diese Feststellung wird hiermit gem. § 5 Abs. 2 Satz 1 UVPG bekannt gegeben. Es wird darauf hingewiesen, dass diese Feststellung nach § 5 Abs. 3 Satz 1 UVPG nicht selbstständig anfechtbar ist.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 xml:space="preserve">Nähere Informationen können beim Landratsamt Straubing-Bogen, Sachgebiet 22, Leutnerstr. 15, 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>94315 Straubing, Tel. 09421/973-509, eingeholt werden.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 xml:space="preserve">Straubing, </w:t>
      </w:r>
      <w:r>
        <w:rPr>
          <w:rFonts w:eastAsia="Times New Roman" w:cs="Arial"/>
          <w:color w:val="000000"/>
          <w:sz w:val="20"/>
          <w:szCs w:val="20"/>
          <w:lang w:eastAsia="de-DE"/>
        </w:rPr>
        <w:t>18.04.2024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>Landratsamt Straubing-Bogen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eastAsia="de-DE"/>
        </w:rPr>
      </w:pPr>
      <w:r>
        <w:rPr>
          <w:rFonts w:eastAsia="Times New Roman" w:cs="Arial"/>
          <w:color w:val="000000"/>
          <w:sz w:val="20"/>
          <w:szCs w:val="20"/>
          <w:lang w:eastAsia="de-DE"/>
        </w:rPr>
        <w:t>Sachgebiet Umweltschutz</w:t>
      </w: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val="it-IT"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val="it-IT" w:eastAsia="de-DE"/>
        </w:rPr>
      </w:pPr>
    </w:p>
    <w:p>
      <w:pPr>
        <w:spacing w:line="240" w:lineRule="auto"/>
        <w:ind w:right="-286"/>
        <w:jc w:val="both"/>
        <w:rPr>
          <w:rFonts w:eastAsia="Times New Roman" w:cs="Arial"/>
          <w:color w:val="000000"/>
          <w:sz w:val="20"/>
          <w:szCs w:val="20"/>
          <w:lang w:val="it-IT" w:eastAsia="de-DE"/>
        </w:rPr>
      </w:pPr>
      <w:r>
        <w:rPr>
          <w:rFonts w:eastAsia="Times New Roman" w:cs="Arial"/>
          <w:color w:val="000000"/>
          <w:sz w:val="20"/>
          <w:szCs w:val="20"/>
          <w:lang w:val="it-IT" w:eastAsia="de-DE"/>
        </w:rPr>
        <w:t>Ulrich</w:t>
      </w:r>
    </w:p>
    <w:sectPr>
      <w:pgSz w:w="11906" w:h="16838"/>
      <w:pgMar w:top="1181" w:right="1274" w:bottom="198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bot-Sans SemiBold Semi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Glory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Hubot-Sans Light Semi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Hubot-Sans Light Semi Italic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823"/>
    <w:multiLevelType w:val="hybridMultilevel"/>
    <w:tmpl w:val="BFC206A8"/>
    <w:lvl w:ilvl="0" w:tplc="58F04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25E"/>
    <w:multiLevelType w:val="hybridMultilevel"/>
    <w:tmpl w:val="6F80F0C0"/>
    <w:lvl w:ilvl="0" w:tplc="D9CAD11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107F5B"/>
    <w:multiLevelType w:val="hybridMultilevel"/>
    <w:tmpl w:val="9C723524"/>
    <w:lvl w:ilvl="0" w:tplc="E65E1FC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pPr>
      <w:spacing w:after="0" w:line="270" w:lineRule="atLeast"/>
    </w:pPr>
    <w:rPr>
      <w:rFonts w:ascii="Arial" w:hAnsi="Arial"/>
      <w:color w:val="3B3B3A" w:themeColor="text1"/>
    </w:rPr>
  </w:style>
  <w:style w:type="paragraph" w:styleId="berschrift1">
    <w:name w:val="heading 1"/>
    <w:basedOn w:val="Standard"/>
    <w:next w:val="Standard"/>
    <w:link w:val="berschrift1Zchn"/>
    <w:uiPriority w:val="9"/>
    <w:pPr>
      <w:keepNext/>
      <w:keepLines/>
      <w:spacing w:before="240"/>
      <w:outlineLvl w:val="0"/>
    </w:pPr>
    <w:rPr>
      <w:rFonts w:ascii="Hubot-Sans SemiBold Semi" w:eastAsiaTheme="majorEastAsia" w:hAnsi="Hubot-Sans SemiBold Semi" w:cstheme="majorBidi"/>
      <w:color w:val="0068B4" w:themeColor="background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40"/>
      <w:outlineLvl w:val="1"/>
    </w:pPr>
    <w:rPr>
      <w:rFonts w:ascii="Hubot-Sans SemiBold Semi" w:eastAsiaTheme="majorEastAsia" w:hAnsi="Hubot-Sans SemiBold Semi" w:cstheme="majorBidi"/>
      <w:color w:val="0068B4" w:themeColor="background2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3B3B3A" w:themeColor="text1"/>
      <w:sz w:val="14"/>
    </w:rPr>
  </w:style>
  <w:style w:type="character" w:styleId="Hyperlink">
    <w:name w:val="Hyperlink"/>
    <w:basedOn w:val="Absatz-Standardschriftart"/>
    <w:uiPriority w:val="99"/>
    <w:unhideWhenUsed/>
    <w:qFormat/>
    <w:rPr>
      <w:rFonts w:ascii="Arial" w:hAnsi="Arial"/>
      <w:color w:val="0068B4" w:themeColor="hyperlink"/>
      <w:sz w:val="2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Betreff">
    <w:name w:val="Betreff"/>
    <w:link w:val="BetreffZchn"/>
    <w:qFormat/>
    <w:pPr>
      <w:spacing w:after="0" w:line="270" w:lineRule="atLeast"/>
    </w:pPr>
    <w:rPr>
      <w:rFonts w:ascii="Arial" w:hAnsi="Arial" w:cs="Arial"/>
      <w:b/>
      <w:color w:val="0068B4" w:themeColor="background2"/>
      <w:sz w:val="24"/>
    </w:rPr>
  </w:style>
  <w:style w:type="paragraph" w:customStyle="1" w:styleId="Kontaktdaten">
    <w:name w:val="Kontaktdaten"/>
    <w:link w:val="KontaktdatenZchn"/>
    <w:qFormat/>
    <w:pPr>
      <w:spacing w:after="0" w:line="230" w:lineRule="atLeast"/>
      <w:jc w:val="right"/>
    </w:pPr>
    <w:rPr>
      <w:rFonts w:ascii="Arial" w:hAnsi="Arial" w:cs="Glory"/>
      <w:color w:val="3B3B3A"/>
      <w:sz w:val="16"/>
      <w:szCs w:val="18"/>
    </w:rPr>
  </w:style>
  <w:style w:type="character" w:customStyle="1" w:styleId="BetreffZchn">
    <w:name w:val="Betreff Zchn"/>
    <w:basedOn w:val="Absatz-Standardschriftart"/>
    <w:link w:val="Betreff"/>
    <w:rPr>
      <w:rFonts w:ascii="Arial" w:hAnsi="Arial" w:cs="Arial"/>
      <w:b/>
      <w:color w:val="0068B4" w:themeColor="background2"/>
      <w:sz w:val="24"/>
    </w:rPr>
  </w:style>
  <w:style w:type="paragraph" w:customStyle="1" w:styleId="KontaktdatenBold">
    <w:name w:val="Kontaktdaten Bold"/>
    <w:basedOn w:val="Standard"/>
    <w:link w:val="KontaktdatenBoldZchn"/>
    <w:qFormat/>
    <w:pPr>
      <w:spacing w:before="200" w:line="230" w:lineRule="atLeast"/>
      <w:jc w:val="right"/>
    </w:pPr>
    <w:rPr>
      <w:rFonts w:cs="Glory"/>
      <w:b/>
      <w:color w:val="3B3B3A"/>
      <w:sz w:val="16"/>
      <w:szCs w:val="18"/>
    </w:rPr>
  </w:style>
  <w:style w:type="character" w:customStyle="1" w:styleId="KontaktdatenZchn">
    <w:name w:val="Kontaktdaten Zchn"/>
    <w:basedOn w:val="Absatz-Standardschriftart"/>
    <w:link w:val="Kontaktdaten"/>
    <w:rPr>
      <w:rFonts w:ascii="Arial" w:hAnsi="Arial" w:cs="Glory"/>
      <w:color w:val="3B3B3A"/>
      <w:sz w:val="16"/>
      <w:szCs w:val="18"/>
    </w:rPr>
  </w:style>
  <w:style w:type="character" w:customStyle="1" w:styleId="KontaktdatenBoldZchn">
    <w:name w:val="Kontaktdaten Bold Zchn"/>
    <w:basedOn w:val="Absatz-Standardschriftart"/>
    <w:link w:val="KontaktdatenBold"/>
    <w:rPr>
      <w:rFonts w:ascii="Arial" w:hAnsi="Arial" w:cs="Glory"/>
      <w:b/>
      <w:color w:val="3B3B3A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Hubot-Sans SemiBold Semi" w:eastAsiaTheme="majorEastAsia" w:hAnsi="Hubot-Sans SemiBold Semi" w:cstheme="majorBidi"/>
      <w:color w:val="0068B4" w:themeColor="background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Hubot-Sans SemiBold Semi" w:eastAsiaTheme="majorEastAsia" w:hAnsi="Hubot-Sans SemiBold Semi" w:cstheme="majorBidi"/>
      <w:color w:val="0068B4" w:themeColor="background2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pPr>
      <w:spacing w:line="240" w:lineRule="auto"/>
      <w:contextualSpacing/>
    </w:pPr>
    <w:rPr>
      <w:rFonts w:ascii="Hubot-Sans SemiBold Semi" w:eastAsiaTheme="majorEastAsia" w:hAnsi="Hubot-Sans SemiBold Semi" w:cstheme="majorBidi"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Hubot-Sans SemiBold Semi" w:eastAsiaTheme="majorEastAsia" w:hAnsi="Hubot-Sans SemiBold Semi" w:cstheme="majorBidi"/>
      <w:color w:val="3B3B3A" w:themeColor="text1"/>
      <w:spacing w:val="-10"/>
      <w:kern w:val="28"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160"/>
    </w:pPr>
    <w:rPr>
      <w:rFonts w:eastAsiaTheme="minorEastAsia"/>
      <w:color w:val="81817E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Hubot-Sans Light Semi" w:eastAsiaTheme="minorEastAsia" w:hAnsi="Hubot-Sans Light Semi"/>
      <w:color w:val="81817E" w:themeColor="text1" w:themeTint="A5"/>
      <w:spacing w:val="15"/>
      <w:sz w:val="20"/>
    </w:rPr>
  </w:style>
  <w:style w:type="character" w:styleId="SchwacheHervorhebung">
    <w:name w:val="Subtle Emphasis"/>
    <w:basedOn w:val="Absatz-Standardschriftart"/>
    <w:uiPriority w:val="19"/>
    <w:rPr>
      <w:rFonts w:ascii="Hubot-Sans Light Semi Italic" w:hAnsi="Hubot-Sans Light Semi Italic"/>
      <w:i w:val="0"/>
      <w:iCs/>
      <w:color w:val="6C6C6A" w:themeColor="text1" w:themeTint="BF"/>
      <w:sz w:val="20"/>
    </w:rPr>
  </w:style>
  <w:style w:type="character" w:styleId="Hervorhebung">
    <w:name w:val="Emphasis"/>
    <w:basedOn w:val="Absatz-Standardschriftart"/>
    <w:uiPriority w:val="20"/>
    <w:rPr>
      <w:rFonts w:ascii="Hubot-Sans Light Semi Italic" w:hAnsi="Hubot-Sans Light Semi Italic"/>
      <w:i w:val="0"/>
      <w:iCs/>
      <w:sz w:val="20"/>
    </w:rPr>
  </w:style>
  <w:style w:type="character" w:styleId="IntensiveHervorhebung">
    <w:name w:val="Intense Emphasis"/>
    <w:basedOn w:val="Absatz-Standardschriftart"/>
    <w:uiPriority w:val="21"/>
    <w:rPr>
      <w:rFonts w:ascii="Hubot-Sans Light Semi Italic" w:hAnsi="Hubot-Sans Light Semi Italic"/>
      <w:i w:val="0"/>
      <w:iCs/>
      <w:color w:val="0068B4" w:themeColor="background2"/>
      <w:sz w:val="20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spacing w:val="0"/>
      <w:w w:val="100"/>
      <w:sz w:val="22"/>
    </w:rPr>
  </w:style>
  <w:style w:type="paragraph" w:styleId="Zitat">
    <w:name w:val="Quote"/>
    <w:basedOn w:val="Standard"/>
    <w:next w:val="Standard"/>
    <w:link w:val="ZitatZchn"/>
    <w:uiPriority w:val="29"/>
    <w:pPr>
      <w:spacing w:before="200" w:after="160"/>
      <w:ind w:left="864" w:right="864"/>
      <w:jc w:val="center"/>
    </w:pPr>
    <w:rPr>
      <w:rFonts w:ascii="Hubot-Sans Light Semi Italic" w:hAnsi="Hubot-Sans Light Semi Italic"/>
      <w:iCs/>
      <w:color w:val="6C6C6A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Hubot-Sans Light Semi Italic" w:hAnsi="Hubot-Sans Light Semi Italic"/>
      <w:iCs/>
      <w:color w:val="6C6C6A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FBBA00" w:themeColor="accent1"/>
        <w:bottom w:val="single" w:sz="4" w:space="10" w:color="FBBA00" w:themeColor="accent1"/>
      </w:pBdr>
      <w:spacing w:before="360" w:after="360"/>
      <w:ind w:left="864" w:right="864"/>
      <w:jc w:val="center"/>
    </w:pPr>
    <w:rPr>
      <w:rFonts w:ascii="Hubot-Sans Light Semi Italic" w:hAnsi="Hubot-Sans Light Semi Italic"/>
      <w:iCs/>
      <w:color w:val="FB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Hubot-Sans Light Semi Italic" w:hAnsi="Hubot-Sans Light Semi Italic"/>
      <w:iCs/>
      <w:color w:val="FBBA00" w:themeColor="accent1"/>
      <w:sz w:val="20"/>
    </w:rPr>
  </w:style>
  <w:style w:type="character" w:styleId="SchwacherVerweis">
    <w:name w:val="Subtle Reference"/>
    <w:basedOn w:val="Absatz-Standardschriftart"/>
    <w:uiPriority w:val="31"/>
    <w:rPr>
      <w:rFonts w:ascii="Hubot-Sans Light Semi" w:hAnsi="Hubot-Sans Light Semi"/>
      <w:smallCaps/>
      <w:color w:val="3B3B3A" w:themeColor="text1"/>
      <w:sz w:val="20"/>
    </w:rPr>
  </w:style>
  <w:style w:type="character" w:styleId="IntensiverVerweis">
    <w:name w:val="Intense Reference"/>
    <w:basedOn w:val="Absatz-Standardschriftart"/>
    <w:uiPriority w:val="32"/>
    <w:rPr>
      <w:rFonts w:ascii="Hubot-Sans SemiBold Semi" w:hAnsi="Hubot-Sans SemiBold Semi"/>
      <w:b w:val="0"/>
      <w:bCs/>
      <w:smallCaps/>
      <w:color w:val="0068B4" w:themeColor="background2"/>
      <w:spacing w:val="5"/>
      <w:sz w:val="20"/>
    </w:rPr>
  </w:style>
  <w:style w:type="character" w:styleId="Buchtitel">
    <w:name w:val="Book Title"/>
    <w:basedOn w:val="Absatz-Standardschriftart"/>
    <w:uiPriority w:val="33"/>
    <w:rPr>
      <w:rFonts w:ascii="Hubot-Sans Light Semi Italic" w:hAnsi="Hubot-Sans Light Semi Italic"/>
      <w:b w:val="0"/>
      <w:bCs/>
      <w:i w:val="0"/>
      <w:iCs/>
      <w:spacing w:val="5"/>
      <w:sz w:val="20"/>
    </w:r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ndkreis Straubing-Bogen">
      <a:dk1>
        <a:srgbClr val="3B3B3A"/>
      </a:dk1>
      <a:lt1>
        <a:sysClr val="window" lastClr="FFFFFF"/>
      </a:lt1>
      <a:dk2>
        <a:srgbClr val="0AA537"/>
      </a:dk2>
      <a:lt2>
        <a:srgbClr val="0068B4"/>
      </a:lt2>
      <a:accent1>
        <a:srgbClr val="FBBA00"/>
      </a:accent1>
      <a:accent2>
        <a:srgbClr val="94C7ED"/>
      </a:accent2>
      <a:accent3>
        <a:srgbClr val="9D102A"/>
      </a:accent3>
      <a:accent4>
        <a:srgbClr val="0068B4"/>
      </a:accent4>
      <a:accent5>
        <a:srgbClr val="0AA537"/>
      </a:accent5>
      <a:accent6>
        <a:srgbClr val="FBBA00"/>
      </a:accent6>
      <a:hlink>
        <a:srgbClr val="0068B4"/>
      </a:hlink>
      <a:folHlink>
        <a:srgbClr val="94C7E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F4E6-513F-4C05-B80B-1E39A29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2024-04-18T12:14:00Z</dcterms:created>
  <dcterms:modified xsi:type="dcterms:W3CDTF">2024-04-18T12:39:00Z</dcterms:modified>
</cp:coreProperties>
</file>