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FF" w:rsidRPr="00AD1995" w:rsidRDefault="006912FF" w:rsidP="006912FF">
      <w:pPr>
        <w:ind w:left="0"/>
        <w:rPr>
          <w:b/>
        </w:rPr>
      </w:pPr>
      <w:r w:rsidRPr="006912FF">
        <w:rPr>
          <w:b/>
        </w:rPr>
        <w:t>52.1</w:t>
      </w:r>
      <w:r w:rsidRPr="00AD1995">
        <w:rPr>
          <w:b/>
        </w:rPr>
        <w:t>4-64</w:t>
      </w:r>
      <w:r w:rsidR="0070229F">
        <w:rPr>
          <w:b/>
        </w:rPr>
        <w:t>5</w:t>
      </w:r>
      <w:r w:rsidRPr="00AD1995">
        <w:rPr>
          <w:b/>
        </w:rPr>
        <w:t>/0</w:t>
      </w:r>
      <w:r w:rsidR="0070229F">
        <w:rPr>
          <w:b/>
        </w:rPr>
        <w:t>1-3 V 138</w:t>
      </w:r>
    </w:p>
    <w:p w:rsidR="006912FF" w:rsidRPr="00AD1995" w:rsidRDefault="006912FF" w:rsidP="006912FF">
      <w:pPr>
        <w:ind w:left="0"/>
      </w:pPr>
    </w:p>
    <w:p w:rsidR="006912FF" w:rsidRPr="0070229F" w:rsidRDefault="006912FF" w:rsidP="006912FF">
      <w:pPr>
        <w:ind w:left="0"/>
        <w:rPr>
          <w:rFonts w:ascii="Roboto" w:hAnsi="Roboto"/>
        </w:rPr>
      </w:pP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rPr>
          <w:rFonts w:ascii="Roboto" w:hAnsi="Roboto"/>
          <w:b/>
          <w:color w:val="000000"/>
        </w:rPr>
      </w:pPr>
      <w:r w:rsidRPr="0070229F">
        <w:rPr>
          <w:rFonts w:ascii="Roboto" w:hAnsi="Roboto"/>
          <w:b/>
          <w:color w:val="000000"/>
        </w:rPr>
        <w:t>Vollzug der Wassergesetze und des Gesetzes über die Umweltverträglichkeitsprüfung (UVPG);</w:t>
      </w:r>
    </w:p>
    <w:p w:rsidR="006912FF" w:rsidRPr="0070229F" w:rsidRDefault="0070229F" w:rsidP="006912FF">
      <w:pPr>
        <w:tabs>
          <w:tab w:val="left" w:pos="727"/>
          <w:tab w:val="left" w:pos="1867"/>
          <w:tab w:val="left" w:pos="3007"/>
          <w:tab w:val="left" w:pos="4147"/>
          <w:tab w:val="left" w:pos="5287"/>
          <w:tab w:val="left" w:pos="6427"/>
          <w:tab w:val="left" w:pos="7561"/>
          <w:tab w:val="left" w:pos="8702"/>
        </w:tabs>
        <w:ind w:left="0"/>
        <w:rPr>
          <w:rFonts w:ascii="Roboto" w:hAnsi="Roboto"/>
          <w:color w:val="000000"/>
        </w:rPr>
      </w:pPr>
      <w:r w:rsidRPr="0070229F">
        <w:rPr>
          <w:rFonts w:ascii="Roboto" w:hAnsi="Roboto"/>
          <w:color w:val="000000"/>
        </w:rPr>
        <w:t xml:space="preserve">Markt Biberbach </w:t>
      </w:r>
      <w:r>
        <w:rPr>
          <w:rFonts w:ascii="Roboto" w:hAnsi="Roboto"/>
          <w:color w:val="000000"/>
        </w:rPr>
        <w:t>–</w:t>
      </w:r>
      <w:r w:rsidRPr="0070229F">
        <w:rPr>
          <w:rFonts w:ascii="Roboto" w:hAnsi="Roboto"/>
          <w:color w:val="000000"/>
        </w:rPr>
        <w:t xml:space="preserve"> Hochwasserschutzmaßnahme</w:t>
      </w:r>
      <w:r>
        <w:rPr>
          <w:rFonts w:ascii="Roboto" w:hAnsi="Roboto"/>
          <w:color w:val="000000"/>
        </w:rPr>
        <w:t>n am Reichertsgraben</w:t>
      </w:r>
      <w:r w:rsidRPr="0070229F">
        <w:rPr>
          <w:rFonts w:ascii="Roboto" w:hAnsi="Roboto"/>
          <w:color w:val="000000"/>
        </w:rPr>
        <w:t xml:space="preserve"> im O</w:t>
      </w:r>
      <w:r>
        <w:rPr>
          <w:rFonts w:ascii="Roboto" w:hAnsi="Roboto"/>
          <w:color w:val="000000"/>
        </w:rPr>
        <w:t>rtsteil</w:t>
      </w:r>
      <w:r w:rsidRPr="0070229F">
        <w:rPr>
          <w:rFonts w:ascii="Roboto" w:hAnsi="Roboto"/>
          <w:color w:val="000000"/>
        </w:rPr>
        <w:t xml:space="preserve"> Affaltern</w:t>
      </w: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rPr>
          <w:rFonts w:ascii="Roboto" w:hAnsi="Roboto"/>
          <w:color w:val="000000"/>
        </w:rPr>
      </w:pP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rPr>
          <w:rFonts w:ascii="Roboto" w:hAnsi="Roboto"/>
          <w:color w:val="000000"/>
        </w:rPr>
      </w:pP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rPr>
          <w:rFonts w:ascii="Roboto" w:hAnsi="Roboto"/>
          <w:color w:val="000000"/>
        </w:rPr>
      </w:pP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jc w:val="center"/>
        <w:rPr>
          <w:rFonts w:ascii="Roboto" w:hAnsi="Roboto"/>
          <w:b/>
          <w:color w:val="000000"/>
          <w:sz w:val="32"/>
          <w:szCs w:val="32"/>
          <w:u w:val="single"/>
        </w:rPr>
      </w:pPr>
      <w:r w:rsidRPr="0070229F">
        <w:rPr>
          <w:rFonts w:ascii="Roboto" w:hAnsi="Roboto"/>
          <w:b/>
          <w:color w:val="000000"/>
          <w:sz w:val="32"/>
          <w:szCs w:val="32"/>
          <w:u w:val="single"/>
        </w:rPr>
        <w:t>Bekanntmachung</w:t>
      </w:r>
    </w:p>
    <w:p w:rsidR="006912FF" w:rsidRPr="0070229F" w:rsidRDefault="006912FF" w:rsidP="006912FF">
      <w:pPr>
        <w:tabs>
          <w:tab w:val="left" w:pos="727"/>
          <w:tab w:val="left" w:pos="1867"/>
          <w:tab w:val="left" w:pos="3007"/>
          <w:tab w:val="left" w:pos="4147"/>
          <w:tab w:val="left" w:pos="5287"/>
          <w:tab w:val="left" w:pos="6427"/>
          <w:tab w:val="left" w:pos="7561"/>
          <w:tab w:val="left" w:pos="8702"/>
        </w:tabs>
        <w:ind w:left="0"/>
        <w:rPr>
          <w:rFonts w:ascii="Roboto" w:hAnsi="Roboto"/>
          <w:color w:val="000000"/>
        </w:rPr>
      </w:pPr>
    </w:p>
    <w:p w:rsidR="00964F32" w:rsidRDefault="002830E9" w:rsidP="002830E9">
      <w:pPr>
        <w:tabs>
          <w:tab w:val="left" w:pos="727"/>
          <w:tab w:val="left" w:pos="1867"/>
          <w:tab w:val="left" w:pos="3007"/>
          <w:tab w:val="left" w:pos="4147"/>
          <w:tab w:val="left" w:pos="5287"/>
          <w:tab w:val="left" w:pos="6427"/>
          <w:tab w:val="left" w:pos="7561"/>
          <w:tab w:val="left" w:pos="8702"/>
        </w:tabs>
        <w:spacing w:before="40" w:line="288" w:lineRule="auto"/>
        <w:ind w:left="0"/>
        <w:rPr>
          <w:rFonts w:ascii="Roboto" w:hAnsi="Roboto"/>
          <w:color w:val="000000"/>
        </w:rPr>
      </w:pPr>
      <w:r w:rsidRPr="002830E9">
        <w:rPr>
          <w:rFonts w:ascii="Roboto" w:hAnsi="Roboto"/>
          <w:color w:val="000000"/>
        </w:rPr>
        <w:t>D</w:t>
      </w:r>
      <w:r>
        <w:rPr>
          <w:rFonts w:ascii="Roboto" w:hAnsi="Roboto"/>
          <w:color w:val="000000"/>
        </w:rPr>
        <w:t>er Markt Biberbach</w:t>
      </w:r>
      <w:r w:rsidRPr="002830E9">
        <w:rPr>
          <w:rFonts w:ascii="Roboto" w:hAnsi="Roboto"/>
          <w:color w:val="000000"/>
        </w:rPr>
        <w:t xml:space="preserve"> plant den Hochwasserschutz für d</w:t>
      </w:r>
      <w:r>
        <w:rPr>
          <w:rFonts w:ascii="Roboto" w:hAnsi="Roboto"/>
          <w:color w:val="000000"/>
        </w:rPr>
        <w:t>en Ortsteil</w:t>
      </w:r>
      <w:r w:rsidRPr="002830E9">
        <w:rPr>
          <w:rFonts w:ascii="Roboto" w:hAnsi="Roboto"/>
          <w:color w:val="000000"/>
        </w:rPr>
        <w:t xml:space="preserve"> Affaltern für ein </w:t>
      </w:r>
      <w:r w:rsidR="007E36D6">
        <w:rPr>
          <w:rFonts w:ascii="Roboto" w:hAnsi="Roboto"/>
          <w:color w:val="000000"/>
        </w:rPr>
        <w:t>hundertjährliches Hochwasserereignis (HQ100)</w:t>
      </w:r>
      <w:r w:rsidRPr="002830E9">
        <w:rPr>
          <w:rFonts w:ascii="Roboto" w:hAnsi="Roboto"/>
          <w:color w:val="000000"/>
        </w:rPr>
        <w:t>. Der Reichertsgraben, ein Gewässer III. Ordnung, fließt von West nach Ost durch den bebauten Bereich von Affaltern, ehe er ca. 280 m unterhalb der Ortschaft in den Biberbach einmündet. Dabei kreuzt er 7 Durchl</w:t>
      </w:r>
      <w:r>
        <w:rPr>
          <w:rFonts w:ascii="Roboto" w:hAnsi="Roboto"/>
          <w:color w:val="000000"/>
        </w:rPr>
        <w:t xml:space="preserve">ässe </w:t>
      </w:r>
      <w:r w:rsidR="00964F32">
        <w:rPr>
          <w:rFonts w:ascii="Roboto" w:hAnsi="Roboto"/>
          <w:color w:val="000000"/>
        </w:rPr>
        <w:t>i</w:t>
      </w:r>
      <w:r>
        <w:rPr>
          <w:rFonts w:ascii="Roboto" w:hAnsi="Roboto"/>
          <w:color w:val="000000"/>
        </w:rPr>
        <w:t>m</w:t>
      </w:r>
      <w:r w:rsidRPr="002830E9">
        <w:rPr>
          <w:rFonts w:ascii="Roboto" w:hAnsi="Roboto"/>
          <w:color w:val="000000"/>
        </w:rPr>
        <w:t xml:space="preserve"> innerörtliche</w:t>
      </w:r>
      <w:r>
        <w:rPr>
          <w:rFonts w:ascii="Roboto" w:hAnsi="Roboto"/>
          <w:color w:val="000000"/>
        </w:rPr>
        <w:t>n</w:t>
      </w:r>
      <w:r w:rsidRPr="002830E9">
        <w:rPr>
          <w:rFonts w:ascii="Roboto" w:hAnsi="Roboto"/>
          <w:color w:val="000000"/>
        </w:rPr>
        <w:t xml:space="preserve"> Bereich von Affaltern. </w:t>
      </w:r>
    </w:p>
    <w:p w:rsidR="007E36D6" w:rsidRDefault="007E36D6" w:rsidP="002830E9">
      <w:pPr>
        <w:tabs>
          <w:tab w:val="left" w:pos="727"/>
          <w:tab w:val="left" w:pos="1867"/>
          <w:tab w:val="left" w:pos="3007"/>
          <w:tab w:val="left" w:pos="4147"/>
          <w:tab w:val="left" w:pos="5287"/>
          <w:tab w:val="left" w:pos="6427"/>
          <w:tab w:val="left" w:pos="7561"/>
          <w:tab w:val="left" w:pos="8702"/>
        </w:tabs>
        <w:spacing w:before="40" w:line="288" w:lineRule="auto"/>
        <w:ind w:left="0"/>
        <w:rPr>
          <w:rFonts w:ascii="Roboto" w:hAnsi="Roboto"/>
          <w:color w:val="000000"/>
        </w:rPr>
      </w:pPr>
      <w:r w:rsidRPr="00942532">
        <w:rPr>
          <w:color w:val="000000"/>
        </w:rPr>
        <w:t xml:space="preserve">Das Vorhaben erfüllt den wasserrechtlichen Tatbestand </w:t>
      </w:r>
      <w:r>
        <w:rPr>
          <w:color w:val="000000"/>
        </w:rPr>
        <w:t>nach § 67 Abs. 2 Wasserhaushaltsgesetz (WHG).</w:t>
      </w:r>
    </w:p>
    <w:p w:rsidR="00CF3147" w:rsidRDefault="00CF3147" w:rsidP="006912FF">
      <w:pPr>
        <w:tabs>
          <w:tab w:val="left" w:pos="727"/>
          <w:tab w:val="left" w:pos="1867"/>
          <w:tab w:val="left" w:pos="3007"/>
          <w:tab w:val="left" w:pos="4147"/>
          <w:tab w:val="left" w:pos="5287"/>
          <w:tab w:val="left" w:pos="6427"/>
          <w:tab w:val="left" w:pos="7561"/>
          <w:tab w:val="left" w:pos="8702"/>
        </w:tabs>
        <w:spacing w:before="40" w:line="288" w:lineRule="auto"/>
        <w:ind w:left="0"/>
        <w:rPr>
          <w:rFonts w:ascii="Roboto" w:hAnsi="Roboto" w:cs="Arial"/>
        </w:rPr>
      </w:pPr>
    </w:p>
    <w:p w:rsidR="006912FF" w:rsidRPr="0070229F" w:rsidRDefault="006912FF" w:rsidP="006912FF">
      <w:pPr>
        <w:tabs>
          <w:tab w:val="left" w:pos="727"/>
          <w:tab w:val="left" w:pos="1867"/>
          <w:tab w:val="left" w:pos="3007"/>
          <w:tab w:val="left" w:pos="4147"/>
          <w:tab w:val="left" w:pos="5287"/>
          <w:tab w:val="left" w:pos="6427"/>
          <w:tab w:val="left" w:pos="7561"/>
          <w:tab w:val="left" w:pos="8702"/>
        </w:tabs>
        <w:spacing w:before="40" w:line="288" w:lineRule="auto"/>
        <w:ind w:left="0"/>
        <w:rPr>
          <w:rFonts w:ascii="Roboto" w:hAnsi="Roboto" w:cs="Arial"/>
        </w:rPr>
      </w:pPr>
      <w:r w:rsidRPr="0070229F">
        <w:rPr>
          <w:rFonts w:ascii="Roboto" w:hAnsi="Roboto" w:cs="Arial"/>
        </w:rPr>
        <w:t xml:space="preserve">Die untere Wasserrechtsbehörde beim Landratsamt Augsburg hatte im Rahmen des Wasserrechtsverfahrens nach </w:t>
      </w:r>
      <w:r w:rsidR="00554D32" w:rsidRPr="0070229F">
        <w:rPr>
          <w:rFonts w:ascii="Roboto" w:hAnsi="Roboto" w:cs="Arial"/>
        </w:rPr>
        <w:t xml:space="preserve">§ 7 Abs. </w:t>
      </w:r>
      <w:r w:rsidR="007E36D6">
        <w:rPr>
          <w:rFonts w:ascii="Roboto" w:hAnsi="Roboto" w:cs="Arial"/>
        </w:rPr>
        <w:t>2</w:t>
      </w:r>
      <w:r w:rsidR="00554D32" w:rsidRPr="0070229F">
        <w:rPr>
          <w:rFonts w:ascii="Roboto" w:hAnsi="Roboto" w:cs="Arial"/>
        </w:rPr>
        <w:t xml:space="preserve"> und </w:t>
      </w:r>
      <w:r w:rsidRPr="0070229F">
        <w:rPr>
          <w:rFonts w:ascii="Roboto" w:hAnsi="Roboto" w:cs="Arial"/>
        </w:rPr>
        <w:t>Anlage 1 Nr. 13.</w:t>
      </w:r>
      <w:r w:rsidR="00B26D9D">
        <w:rPr>
          <w:rFonts w:ascii="Roboto" w:hAnsi="Roboto" w:cs="Arial"/>
        </w:rPr>
        <w:t>18</w:t>
      </w:r>
      <w:r w:rsidRPr="0070229F">
        <w:rPr>
          <w:rFonts w:ascii="Roboto" w:hAnsi="Roboto" w:cs="Arial"/>
        </w:rPr>
        <w:t xml:space="preserve">.2 UVPG eine </w:t>
      </w:r>
      <w:r w:rsidR="00B26D9D">
        <w:rPr>
          <w:rFonts w:ascii="Roboto" w:hAnsi="Roboto" w:cs="Arial"/>
          <w:b/>
        </w:rPr>
        <w:t xml:space="preserve">standortbezogene </w:t>
      </w:r>
      <w:r w:rsidRPr="0070229F">
        <w:rPr>
          <w:rFonts w:ascii="Roboto" w:hAnsi="Roboto" w:cs="Arial"/>
          <w:b/>
        </w:rPr>
        <w:t>Vorprüfung des Einzelfalls</w:t>
      </w:r>
      <w:r w:rsidRPr="0070229F">
        <w:rPr>
          <w:rFonts w:ascii="Roboto" w:hAnsi="Roboto" w:cs="Arial"/>
        </w:rPr>
        <w:t xml:space="preserve"> vorzunehmen. </w:t>
      </w:r>
    </w:p>
    <w:p w:rsidR="006912FF" w:rsidRPr="0070229F" w:rsidRDefault="006912FF" w:rsidP="006912FF">
      <w:pPr>
        <w:tabs>
          <w:tab w:val="left" w:pos="727"/>
          <w:tab w:val="left" w:pos="1867"/>
          <w:tab w:val="left" w:pos="3007"/>
          <w:tab w:val="left" w:pos="4147"/>
          <w:tab w:val="left" w:pos="5287"/>
          <w:tab w:val="left" w:pos="6427"/>
          <w:tab w:val="left" w:pos="7561"/>
          <w:tab w:val="left" w:pos="8702"/>
        </w:tabs>
        <w:spacing w:before="40" w:line="288" w:lineRule="auto"/>
        <w:ind w:left="0"/>
        <w:rPr>
          <w:rFonts w:ascii="Roboto" w:hAnsi="Roboto" w:cs="Arial"/>
        </w:rPr>
      </w:pPr>
    </w:p>
    <w:p w:rsidR="007E36D6" w:rsidRPr="007E36D6" w:rsidRDefault="007E36D6" w:rsidP="007E36D6">
      <w:pPr>
        <w:tabs>
          <w:tab w:val="left" w:pos="727"/>
          <w:tab w:val="left" w:pos="1867"/>
          <w:tab w:val="left" w:pos="3007"/>
          <w:tab w:val="left" w:pos="4147"/>
          <w:tab w:val="left" w:pos="5287"/>
          <w:tab w:val="left" w:pos="6427"/>
          <w:tab w:val="left" w:pos="7561"/>
          <w:tab w:val="left" w:pos="8702"/>
        </w:tabs>
        <w:spacing w:before="40" w:after="120" w:line="288" w:lineRule="auto"/>
        <w:ind w:left="0"/>
        <w:rPr>
          <w:rFonts w:ascii="Roboto" w:hAnsi="Roboto"/>
          <w:color w:val="000000"/>
        </w:rPr>
      </w:pPr>
      <w:r w:rsidRPr="007E36D6">
        <w:rPr>
          <w:rFonts w:ascii="Roboto" w:hAnsi="Roboto"/>
          <w:color w:val="000000"/>
        </w:rPr>
        <w:t xml:space="preserve">Unter Berücksichtigung der in Anlage </w:t>
      </w:r>
      <w:hyperlink r:id="rId4" w:history="1">
        <w:r w:rsidRPr="007E36D6">
          <w:rPr>
            <w:rFonts w:ascii="Roboto" w:hAnsi="Roboto"/>
            <w:color w:val="000000"/>
          </w:rPr>
          <w:t>3</w:t>
        </w:r>
      </w:hyperlink>
      <w:r w:rsidRPr="007E36D6">
        <w:rPr>
          <w:rFonts w:ascii="Roboto" w:hAnsi="Roboto"/>
          <w:color w:val="000000"/>
        </w:rPr>
        <w:t xml:space="preserve"> Nummer 2.3 UVPG aufgeführten Schutzkriterien war hierbei überschlägig zu prüfen, ob besondere örtliche Gegebenheiten vorliegen und gegebenenfalls das Vorhaben unter Einbeziehung der sonstigen Schutzkriterien gemäß Anlage 3 UVPG erhebliche nachteilige Umweltauswirkungen haben kann und insofern eine Umweltverträglichkeitsprüfung durchzuführen ist.</w:t>
      </w:r>
    </w:p>
    <w:p w:rsidR="006912FF" w:rsidRPr="0070229F" w:rsidRDefault="006912FF" w:rsidP="006912FF">
      <w:pPr>
        <w:spacing w:before="40" w:line="288" w:lineRule="auto"/>
        <w:ind w:left="0" w:right="74"/>
        <w:rPr>
          <w:rFonts w:ascii="Roboto" w:hAnsi="Roboto" w:cs="Arial"/>
        </w:rPr>
      </w:pPr>
    </w:p>
    <w:p w:rsidR="00D657E2" w:rsidRDefault="00D657E2" w:rsidP="00D657E2">
      <w:pPr>
        <w:spacing w:before="40" w:line="288" w:lineRule="auto"/>
        <w:ind w:left="0" w:right="74"/>
        <w:rPr>
          <w:rFonts w:ascii="Roboto" w:hAnsi="Roboto" w:cs="Arial"/>
        </w:rPr>
      </w:pPr>
      <w:r w:rsidRPr="00D657E2">
        <w:rPr>
          <w:rFonts w:ascii="Roboto" w:hAnsi="Roboto" w:cs="Arial"/>
        </w:rPr>
        <w:t xml:space="preserve">Im Zuge des Hochwasserschutzkonzeptes für </w:t>
      </w:r>
      <w:r>
        <w:rPr>
          <w:rFonts w:ascii="Roboto" w:hAnsi="Roboto" w:cs="Arial"/>
        </w:rPr>
        <w:t xml:space="preserve">den Markt </w:t>
      </w:r>
      <w:r w:rsidRPr="00D657E2">
        <w:rPr>
          <w:rFonts w:ascii="Roboto" w:hAnsi="Roboto" w:cs="Arial"/>
        </w:rPr>
        <w:t xml:space="preserve">Biberbach (Steinbacher-Consult, 18.06.2019) wurde eine umfangreiche </w:t>
      </w:r>
      <w:proofErr w:type="spellStart"/>
      <w:r w:rsidRPr="00D657E2">
        <w:rPr>
          <w:rFonts w:ascii="Roboto" w:hAnsi="Roboto" w:cs="Arial"/>
        </w:rPr>
        <w:t>Alternativenbetrachtung</w:t>
      </w:r>
      <w:proofErr w:type="spellEnd"/>
      <w:r w:rsidRPr="00D657E2">
        <w:rPr>
          <w:rFonts w:ascii="Roboto" w:hAnsi="Roboto" w:cs="Arial"/>
        </w:rPr>
        <w:t xml:space="preserve"> durchgeführt und u. a. eine Variante mit einem Rückhaltebecken oberhalb des Ortsteils betrachtet. Diese wurde aus Kostengründen </w:t>
      </w:r>
      <w:r w:rsidR="00CF3147">
        <w:rPr>
          <w:rFonts w:ascii="Roboto" w:hAnsi="Roboto" w:cs="Arial"/>
        </w:rPr>
        <w:t>nicht weiter</w:t>
      </w:r>
      <w:r w:rsidRPr="00D657E2">
        <w:rPr>
          <w:rFonts w:ascii="Roboto" w:hAnsi="Roboto" w:cs="Arial"/>
        </w:rPr>
        <w:t>verfolgt. Stattdessen wurde die Variante mit d</w:t>
      </w:r>
      <w:r>
        <w:rPr>
          <w:rFonts w:ascii="Roboto" w:hAnsi="Roboto" w:cs="Arial"/>
        </w:rPr>
        <w:t>em Ersatzneubau dreier innerört</w:t>
      </w:r>
      <w:r w:rsidRPr="00D657E2">
        <w:rPr>
          <w:rFonts w:ascii="Roboto" w:hAnsi="Roboto" w:cs="Arial"/>
        </w:rPr>
        <w:t xml:space="preserve">licher Durchlässe ausgearbeitet. An folgenden drei </w:t>
      </w:r>
      <w:r>
        <w:rPr>
          <w:rFonts w:ascii="Roboto" w:hAnsi="Roboto" w:cs="Arial"/>
        </w:rPr>
        <w:t>Straßenquerungen: Kreuzung Buch</w:t>
      </w:r>
      <w:r w:rsidRPr="00D657E2">
        <w:rPr>
          <w:rFonts w:ascii="Roboto" w:hAnsi="Roboto" w:cs="Arial"/>
        </w:rPr>
        <w:t>bergring – St.-Albanus</w:t>
      </w:r>
      <w:bookmarkStart w:id="0" w:name="_GoBack"/>
      <w:bookmarkEnd w:id="0"/>
      <w:r w:rsidRPr="00D657E2">
        <w:rPr>
          <w:rFonts w:ascii="Roboto" w:hAnsi="Roboto" w:cs="Arial"/>
        </w:rPr>
        <w:t>-Straße und der Zufahrten St.-Albanus-Straße 10 und 8, werden die bestehenden Durchlässe ausgetauscht. Sämtliche Durchlässe werden vergrößert, sodass</w:t>
      </w:r>
      <w:r>
        <w:rPr>
          <w:rFonts w:ascii="Roboto" w:hAnsi="Roboto" w:cs="Arial"/>
        </w:rPr>
        <w:t xml:space="preserve"> </w:t>
      </w:r>
      <w:r w:rsidRPr="00D657E2">
        <w:rPr>
          <w:rFonts w:ascii="Roboto" w:hAnsi="Roboto" w:cs="Arial"/>
        </w:rPr>
        <w:t xml:space="preserve">bei Hochwasser das Wasser gefahrlos abgeleitet werden kann. </w:t>
      </w:r>
    </w:p>
    <w:p w:rsidR="00D657E2" w:rsidRDefault="00D657E2" w:rsidP="00D657E2">
      <w:pPr>
        <w:spacing w:before="40" w:line="288" w:lineRule="auto"/>
        <w:ind w:left="0" w:right="74"/>
        <w:rPr>
          <w:rFonts w:ascii="Roboto" w:hAnsi="Roboto" w:cs="Arial"/>
        </w:rPr>
      </w:pPr>
      <w:r w:rsidRPr="00D657E2">
        <w:rPr>
          <w:rFonts w:ascii="Roboto" w:hAnsi="Roboto" w:cs="Arial"/>
        </w:rPr>
        <w:t xml:space="preserve">Anstelle der Betonrohre werden Rechteckdurchlässe in Beton eingebaut. Eine Niederwasserinne wird durch die Ausgestaltung der Berme gewährleistet. Durch den Einbau von Sohlmaterial in einer Stärke von 15 cm wird die Durchgängigkeit für Kleintiere sichergestellt. </w:t>
      </w:r>
    </w:p>
    <w:p w:rsidR="00D657E2" w:rsidRPr="00D657E2" w:rsidRDefault="00D657E2" w:rsidP="00D657E2">
      <w:pPr>
        <w:spacing w:before="40" w:line="288" w:lineRule="auto"/>
        <w:ind w:left="0" w:right="74"/>
        <w:rPr>
          <w:rFonts w:ascii="Roboto" w:hAnsi="Roboto" w:cs="Arial"/>
        </w:rPr>
      </w:pPr>
      <w:r w:rsidRPr="00D657E2">
        <w:rPr>
          <w:rFonts w:ascii="Roboto" w:hAnsi="Roboto" w:cs="Arial"/>
        </w:rPr>
        <w:t xml:space="preserve">Dies bietet den Vorteil, dass in Zeiten geringerer Abflüsse die Durchgängigkeit für aquatische Lebewesen mit einer entsprechenden Wassertiefe gewährleistet ist und Landlebewesen auf </w:t>
      </w:r>
      <w:r>
        <w:rPr>
          <w:rFonts w:ascii="Roboto" w:hAnsi="Roboto" w:cs="Arial"/>
        </w:rPr>
        <w:t>den erhöhten Be</w:t>
      </w:r>
      <w:r w:rsidRPr="00D657E2">
        <w:rPr>
          <w:rFonts w:ascii="Roboto" w:hAnsi="Roboto" w:cs="Arial"/>
        </w:rPr>
        <w:t xml:space="preserve">reich (Berme) neben dem Gerinne die Durchlässe durchqueren können. </w:t>
      </w:r>
    </w:p>
    <w:p w:rsidR="00D657E2" w:rsidRPr="00D657E2" w:rsidRDefault="00D657E2" w:rsidP="00D657E2">
      <w:pPr>
        <w:spacing w:before="40" w:line="288" w:lineRule="auto"/>
        <w:ind w:left="0" w:right="74"/>
        <w:rPr>
          <w:rFonts w:ascii="Roboto" w:hAnsi="Roboto" w:cs="Arial"/>
        </w:rPr>
      </w:pPr>
    </w:p>
    <w:p w:rsidR="00B639C9" w:rsidRDefault="007E36D6" w:rsidP="00B639C9">
      <w:pPr>
        <w:spacing w:before="40" w:line="288" w:lineRule="auto"/>
        <w:ind w:left="0" w:right="74"/>
        <w:rPr>
          <w:rFonts w:ascii="Roboto" w:hAnsi="Roboto" w:cs="Arial"/>
        </w:rPr>
      </w:pPr>
      <w:r>
        <w:rPr>
          <w:rFonts w:ascii="Roboto" w:hAnsi="Roboto" w:cs="Arial"/>
        </w:rPr>
        <w:lastRenderedPageBreak/>
        <w:t>Um den</w:t>
      </w:r>
      <w:r w:rsidR="00D657E2" w:rsidRPr="00D657E2">
        <w:rPr>
          <w:rFonts w:ascii="Roboto" w:hAnsi="Roboto" w:cs="Arial"/>
        </w:rPr>
        <w:t xml:space="preserve"> durch die Vergrößerung der Durchlässe und damit sc</w:t>
      </w:r>
      <w:r>
        <w:rPr>
          <w:rFonts w:ascii="Roboto" w:hAnsi="Roboto" w:cs="Arial"/>
        </w:rPr>
        <w:t>hnelleren Ableitung des Wassers</w:t>
      </w:r>
      <w:r w:rsidR="00D657E2" w:rsidRPr="00D657E2">
        <w:rPr>
          <w:rFonts w:ascii="Roboto" w:hAnsi="Roboto" w:cs="Arial"/>
        </w:rPr>
        <w:t xml:space="preserve"> entstehenden Retentionsraumverlust von ca. 1.130 m³ auszugleichen, wird eine Fläche oberhalb des Ortsgebietes entsprechend gestaltet. Der Ausgleich wird auf den Grundstücken </w:t>
      </w:r>
      <w:r w:rsidR="00D24CC5">
        <w:rPr>
          <w:rFonts w:ascii="Roboto" w:hAnsi="Roboto" w:cs="Arial"/>
        </w:rPr>
        <w:t xml:space="preserve">Fl.-Nr. 542 und 541, Gemarkung Affaltern, </w:t>
      </w:r>
      <w:r w:rsidR="00B639C9">
        <w:rPr>
          <w:rFonts w:ascii="Roboto" w:hAnsi="Roboto" w:cs="Arial"/>
        </w:rPr>
        <w:t xml:space="preserve">umgesetzt. </w:t>
      </w:r>
      <w:r w:rsidR="00D657E2" w:rsidRPr="00D657E2">
        <w:rPr>
          <w:rFonts w:ascii="Roboto" w:hAnsi="Roboto" w:cs="Arial"/>
        </w:rPr>
        <w:t xml:space="preserve">Die Grundstücke befinden sich im Eigentum der Marktgemeinde. </w:t>
      </w:r>
    </w:p>
    <w:p w:rsidR="00B639C9" w:rsidRDefault="00B639C9" w:rsidP="00B639C9">
      <w:pPr>
        <w:spacing w:before="40" w:line="288" w:lineRule="auto"/>
        <w:ind w:left="0" w:right="74"/>
        <w:rPr>
          <w:rFonts w:ascii="Roboto" w:hAnsi="Roboto" w:cs="Arial"/>
        </w:rPr>
      </w:pPr>
    </w:p>
    <w:p w:rsidR="00D657E2" w:rsidRPr="00D657E2" w:rsidRDefault="00D657E2" w:rsidP="00D657E2">
      <w:pPr>
        <w:spacing w:before="40" w:line="288" w:lineRule="auto"/>
        <w:ind w:left="0" w:right="74"/>
        <w:rPr>
          <w:rFonts w:ascii="Roboto" w:hAnsi="Roboto" w:cs="Arial"/>
        </w:rPr>
      </w:pPr>
      <w:r w:rsidRPr="00D657E2">
        <w:rPr>
          <w:rFonts w:ascii="Roboto" w:hAnsi="Roboto" w:cs="Arial"/>
        </w:rPr>
        <w:t>Auf einer 3.325 m² großen Fläche wird die oberste Bodenschicht in einer Stärke von 3</w:t>
      </w:r>
      <w:r>
        <w:rPr>
          <w:rFonts w:ascii="Roboto" w:hAnsi="Roboto" w:cs="Arial"/>
        </w:rPr>
        <w:t>5 cm abgetragen. Die darin inbe</w:t>
      </w:r>
      <w:r w:rsidRPr="00D657E2">
        <w:rPr>
          <w:rFonts w:ascii="Roboto" w:hAnsi="Roboto" w:cs="Arial"/>
        </w:rPr>
        <w:t xml:space="preserve">griffenen Böschungen werden mit einer Neigung von 1:3 </w:t>
      </w:r>
      <w:r>
        <w:rPr>
          <w:rFonts w:ascii="Roboto" w:hAnsi="Roboto" w:cs="Arial"/>
        </w:rPr>
        <w:t>ausgeführt. Nachdem die Mächtig</w:t>
      </w:r>
      <w:r w:rsidRPr="00D657E2">
        <w:rPr>
          <w:rFonts w:ascii="Roboto" w:hAnsi="Roboto" w:cs="Arial"/>
        </w:rPr>
        <w:t>keit des Oberbodens an den durchgeführten Bohrungen 40 cm bis 60 cm beträgt, erfolgt der Abtrag nur im Bereich des Oberbodens. Das Abtragvolumen beträgt unter Berücksichtigung der Böschungsneigungen ca. 1.130 m³. Eine dauer</w:t>
      </w:r>
      <w:r>
        <w:rPr>
          <w:rFonts w:ascii="Roboto" w:hAnsi="Roboto" w:cs="Arial"/>
        </w:rPr>
        <w:t>hafte Vernässung der Ausgleichs</w:t>
      </w:r>
      <w:r w:rsidRPr="00D657E2">
        <w:rPr>
          <w:rFonts w:ascii="Roboto" w:hAnsi="Roboto" w:cs="Arial"/>
        </w:rPr>
        <w:t xml:space="preserve">fläche wird laut dem Baugrundgutachten nicht entstehen, da die Aushubtiefe geringer als 0,5 m ist. Allerdings wird die Fläche bei Hochwasserereignissen größer </w:t>
      </w:r>
      <w:proofErr w:type="spellStart"/>
      <w:r w:rsidRPr="00D657E2">
        <w:rPr>
          <w:rFonts w:ascii="Roboto" w:hAnsi="Roboto" w:cs="Arial"/>
        </w:rPr>
        <w:t>HQhäufig</w:t>
      </w:r>
      <w:proofErr w:type="spellEnd"/>
      <w:r w:rsidRPr="00D657E2">
        <w:rPr>
          <w:rFonts w:ascii="Roboto" w:hAnsi="Roboto" w:cs="Arial"/>
        </w:rPr>
        <w:t xml:space="preserve"> (1,2 m³/s) geflutet, was einer Jährlichkeit von </w:t>
      </w:r>
      <w:r w:rsidR="00D24CC5">
        <w:rPr>
          <w:rFonts w:ascii="Roboto" w:hAnsi="Roboto" w:cs="Arial"/>
        </w:rPr>
        <w:t>10 Jahren (</w:t>
      </w:r>
      <w:r w:rsidRPr="00D657E2">
        <w:rPr>
          <w:rFonts w:ascii="Roboto" w:hAnsi="Roboto" w:cs="Arial"/>
        </w:rPr>
        <w:t>10a</w:t>
      </w:r>
      <w:r w:rsidR="00D24CC5">
        <w:rPr>
          <w:rFonts w:ascii="Roboto" w:hAnsi="Roboto" w:cs="Arial"/>
        </w:rPr>
        <w:t>)</w:t>
      </w:r>
      <w:r w:rsidRPr="00D657E2">
        <w:rPr>
          <w:rFonts w:ascii="Roboto" w:hAnsi="Roboto" w:cs="Arial"/>
        </w:rPr>
        <w:t xml:space="preserve"> entspricht. </w:t>
      </w:r>
    </w:p>
    <w:p w:rsidR="00D657E2" w:rsidRPr="00D657E2" w:rsidRDefault="00D657E2" w:rsidP="00D657E2">
      <w:pPr>
        <w:spacing w:before="40" w:line="288" w:lineRule="auto"/>
        <w:ind w:left="0" w:right="74"/>
        <w:jc w:val="left"/>
        <w:rPr>
          <w:rFonts w:ascii="Roboto" w:hAnsi="Roboto" w:cs="Arial"/>
        </w:rPr>
      </w:pPr>
    </w:p>
    <w:p w:rsidR="00F60687" w:rsidRPr="00B639C9" w:rsidRDefault="00D657E2" w:rsidP="00CF3147">
      <w:pPr>
        <w:spacing w:before="40" w:line="288" w:lineRule="auto"/>
        <w:ind w:left="0" w:right="74"/>
        <w:rPr>
          <w:rFonts w:ascii="Roboto" w:hAnsi="Roboto" w:cs="Arial"/>
        </w:rPr>
      </w:pPr>
      <w:r w:rsidRPr="00D657E2">
        <w:rPr>
          <w:rFonts w:ascii="Roboto" w:hAnsi="Roboto" w:cs="Arial"/>
        </w:rPr>
        <w:t xml:space="preserve">Die komplette Fläche des Retentionsraums soll als Extensivwiese bewirtschaftet werden. </w:t>
      </w:r>
      <w:r w:rsidRPr="00B639C9">
        <w:rPr>
          <w:rFonts w:ascii="Roboto" w:hAnsi="Roboto" w:cs="Arial"/>
        </w:rPr>
        <w:t>Die Ein- und Auslaufbereiche werden mittels trockengesetzten Wasserbausteinen gesichert. Ein 10 m-Pufferstreifen, der mit der Planung der Extensivwiese gegeben ist, ist am Gewässerrand vorgesehen. Dies entspricht einer Maßnahme des hydromorphologischen Umsetzungskonzepts von 2019, um Nährstoffeinträgen aus den umgrenzenden landwirtschaftlichen Flächen zu vermeiden. Am Reichertsgraben sind entlang des Gewässerlaufs Störelemente aus Totholz zur Entwicklung der Eigendynamik geplant.</w:t>
      </w:r>
    </w:p>
    <w:p w:rsidR="00D657E2" w:rsidRPr="00B639C9" w:rsidRDefault="00D657E2" w:rsidP="00D657E2">
      <w:pPr>
        <w:spacing w:before="40" w:line="288" w:lineRule="auto"/>
        <w:ind w:left="0" w:right="74"/>
        <w:rPr>
          <w:rFonts w:ascii="Roboto" w:hAnsi="Roboto" w:cs="Arial"/>
        </w:rPr>
      </w:pPr>
    </w:p>
    <w:p w:rsidR="006912FF" w:rsidRPr="00B639C9" w:rsidRDefault="006912FF" w:rsidP="006912FF">
      <w:pPr>
        <w:spacing w:before="40" w:line="288" w:lineRule="auto"/>
        <w:ind w:left="0" w:right="74"/>
        <w:rPr>
          <w:rFonts w:ascii="Roboto" w:hAnsi="Roboto" w:cs="Arial"/>
        </w:rPr>
      </w:pPr>
      <w:r w:rsidRPr="00B639C9">
        <w:rPr>
          <w:rFonts w:ascii="Roboto" w:hAnsi="Roboto" w:cs="Arial"/>
        </w:rPr>
        <w:t xml:space="preserve">Das Landratsamt Augsburg kam deshalb zu dem Ergebnis, dass durch die Umsetzung des Vorhabens keine erheblichen Umweltauswirkungen zu erwarten sind und damit eine Umweltverträglichkeitsprüfung </w:t>
      </w:r>
      <w:r w:rsidRPr="00B639C9">
        <w:rPr>
          <w:rFonts w:ascii="Roboto" w:hAnsi="Roboto" w:cs="Arial"/>
          <w:b/>
        </w:rPr>
        <w:t>nicht erforderlich</w:t>
      </w:r>
      <w:r w:rsidRPr="00B639C9">
        <w:rPr>
          <w:rFonts w:ascii="Roboto" w:hAnsi="Roboto" w:cs="Arial"/>
        </w:rPr>
        <w:t xml:space="preserve"> ist. </w:t>
      </w:r>
    </w:p>
    <w:p w:rsidR="00524530" w:rsidRPr="00B639C9" w:rsidRDefault="00524530" w:rsidP="006912FF">
      <w:pPr>
        <w:spacing w:before="40" w:line="288" w:lineRule="auto"/>
        <w:ind w:left="0" w:right="74"/>
        <w:rPr>
          <w:rFonts w:ascii="Roboto" w:hAnsi="Roboto" w:cs="Arial"/>
        </w:rPr>
      </w:pPr>
    </w:p>
    <w:p w:rsidR="00524530" w:rsidRPr="00B639C9" w:rsidRDefault="00524530" w:rsidP="006912FF">
      <w:pPr>
        <w:spacing w:before="40" w:line="288" w:lineRule="auto"/>
        <w:ind w:left="0" w:right="74"/>
        <w:rPr>
          <w:rFonts w:ascii="Roboto" w:hAnsi="Roboto" w:cs="Arial"/>
        </w:rPr>
      </w:pPr>
      <w:r w:rsidRPr="00B639C9">
        <w:rPr>
          <w:rFonts w:ascii="Roboto" w:hAnsi="Roboto" w:cs="Arial"/>
        </w:rPr>
        <w:t>Dieses Ergebnis wird gemäß § 5 Abs. 2 Satz 1 UVPG hiermit öffentlich bekanntgegeben.</w:t>
      </w:r>
    </w:p>
    <w:p w:rsidR="006912FF" w:rsidRPr="00B639C9" w:rsidRDefault="006912FF" w:rsidP="006912FF">
      <w:pPr>
        <w:spacing w:before="40" w:line="288" w:lineRule="auto"/>
        <w:ind w:left="0" w:right="74"/>
        <w:rPr>
          <w:rFonts w:ascii="Roboto" w:hAnsi="Roboto" w:cs="Arial"/>
        </w:rPr>
      </w:pPr>
    </w:p>
    <w:p w:rsidR="006912FF" w:rsidRPr="00B639C9" w:rsidRDefault="006912FF" w:rsidP="006912FF">
      <w:pPr>
        <w:spacing w:before="40" w:line="288" w:lineRule="auto"/>
        <w:ind w:left="0" w:right="74"/>
        <w:rPr>
          <w:rFonts w:ascii="Roboto" w:hAnsi="Roboto" w:cs="Arial"/>
        </w:rPr>
      </w:pPr>
      <w:r w:rsidRPr="00B639C9">
        <w:rPr>
          <w:rFonts w:ascii="Roboto" w:hAnsi="Roboto" w:cs="Arial"/>
        </w:rPr>
        <w:t>Nach § 5 Abs. 3 Satz 1 UVPG ist die Feststellung, dass im vorliegenden Fall eine Umweltverträglichkeitsprüfung unterbleibt, nicht selbständig anfechtbar.</w:t>
      </w:r>
    </w:p>
    <w:p w:rsidR="006912FF" w:rsidRPr="00B639C9" w:rsidRDefault="006912FF" w:rsidP="006912FF">
      <w:pPr>
        <w:spacing w:before="40" w:line="288" w:lineRule="auto"/>
        <w:ind w:left="0" w:right="74"/>
        <w:rPr>
          <w:rFonts w:ascii="Roboto" w:hAnsi="Roboto" w:cs="Arial"/>
        </w:rPr>
      </w:pPr>
    </w:p>
    <w:p w:rsidR="006912FF" w:rsidRPr="00B639C9" w:rsidRDefault="006912FF" w:rsidP="006912FF">
      <w:pPr>
        <w:spacing w:before="40" w:line="288" w:lineRule="auto"/>
        <w:ind w:left="0" w:right="74"/>
        <w:rPr>
          <w:rFonts w:ascii="Roboto" w:hAnsi="Roboto" w:cs="Arial"/>
        </w:rPr>
      </w:pPr>
    </w:p>
    <w:p w:rsidR="006912FF" w:rsidRPr="00B639C9" w:rsidRDefault="006912FF" w:rsidP="006912FF">
      <w:pPr>
        <w:spacing w:before="40" w:line="288" w:lineRule="auto"/>
        <w:ind w:left="0" w:right="74"/>
        <w:rPr>
          <w:rFonts w:ascii="Roboto" w:hAnsi="Roboto" w:cs="Arial"/>
        </w:rPr>
      </w:pPr>
    </w:p>
    <w:p w:rsidR="006912FF" w:rsidRPr="00B639C9" w:rsidRDefault="006912FF" w:rsidP="006912FF">
      <w:pPr>
        <w:spacing w:before="40" w:line="288" w:lineRule="auto"/>
        <w:ind w:left="0" w:right="74"/>
        <w:rPr>
          <w:rFonts w:ascii="Roboto" w:hAnsi="Roboto" w:cs="Arial"/>
        </w:rPr>
      </w:pPr>
    </w:p>
    <w:p w:rsidR="00AD1995" w:rsidRPr="00B639C9" w:rsidRDefault="006912FF" w:rsidP="006912FF">
      <w:pPr>
        <w:ind w:left="0"/>
        <w:rPr>
          <w:rFonts w:ascii="Roboto" w:hAnsi="Roboto"/>
        </w:rPr>
      </w:pPr>
      <w:r w:rsidRPr="00B639C9">
        <w:rPr>
          <w:rFonts w:ascii="Roboto" w:hAnsi="Roboto"/>
        </w:rPr>
        <w:t xml:space="preserve">Augsburg, </w:t>
      </w:r>
      <w:r w:rsidR="00D657E2" w:rsidRPr="00B639C9">
        <w:rPr>
          <w:rFonts w:ascii="Roboto" w:hAnsi="Roboto"/>
        </w:rPr>
        <w:t>2</w:t>
      </w:r>
      <w:r w:rsidR="00116333">
        <w:rPr>
          <w:rFonts w:ascii="Roboto" w:hAnsi="Roboto"/>
        </w:rPr>
        <w:t>9</w:t>
      </w:r>
      <w:r w:rsidR="00D657E2" w:rsidRPr="00B639C9">
        <w:rPr>
          <w:rFonts w:ascii="Roboto" w:hAnsi="Roboto"/>
        </w:rPr>
        <w:t>.06.2023</w:t>
      </w:r>
    </w:p>
    <w:p w:rsidR="006912FF" w:rsidRPr="00B639C9" w:rsidRDefault="006912FF" w:rsidP="006912FF">
      <w:pPr>
        <w:ind w:left="0"/>
        <w:rPr>
          <w:rFonts w:ascii="Roboto" w:hAnsi="Roboto"/>
        </w:rPr>
      </w:pPr>
      <w:r w:rsidRPr="00B639C9">
        <w:rPr>
          <w:rFonts w:ascii="Roboto" w:hAnsi="Roboto"/>
        </w:rPr>
        <w:t>Landratsamt Augsburg</w:t>
      </w:r>
    </w:p>
    <w:p w:rsidR="006912FF" w:rsidRPr="00B639C9" w:rsidRDefault="006912FF" w:rsidP="006912FF">
      <w:pPr>
        <w:ind w:left="0"/>
        <w:rPr>
          <w:rFonts w:ascii="Roboto" w:hAnsi="Roboto"/>
        </w:rPr>
      </w:pPr>
    </w:p>
    <w:p w:rsidR="006912FF" w:rsidRPr="00B639C9" w:rsidRDefault="006912FF" w:rsidP="006912FF">
      <w:pPr>
        <w:ind w:left="0"/>
        <w:rPr>
          <w:rFonts w:ascii="Roboto" w:hAnsi="Roboto"/>
        </w:rPr>
      </w:pPr>
    </w:p>
    <w:p w:rsidR="006912FF" w:rsidRPr="00B639C9" w:rsidRDefault="006912FF" w:rsidP="006912FF">
      <w:pPr>
        <w:ind w:left="0"/>
        <w:rPr>
          <w:rFonts w:ascii="Roboto" w:hAnsi="Roboto"/>
        </w:rPr>
      </w:pPr>
    </w:p>
    <w:p w:rsidR="006912FF" w:rsidRPr="00B639C9" w:rsidRDefault="00D657E2" w:rsidP="006912FF">
      <w:pPr>
        <w:spacing w:line="276" w:lineRule="auto"/>
        <w:ind w:left="0"/>
        <w:rPr>
          <w:rFonts w:ascii="Roboto" w:hAnsi="Roboto"/>
        </w:rPr>
      </w:pPr>
      <w:proofErr w:type="spellStart"/>
      <w:r w:rsidRPr="00B639C9">
        <w:rPr>
          <w:rFonts w:ascii="Roboto" w:hAnsi="Roboto"/>
        </w:rPr>
        <w:t>Höhr</w:t>
      </w:r>
      <w:proofErr w:type="spellEnd"/>
    </w:p>
    <w:p w:rsidR="005C37D5" w:rsidRDefault="006912FF" w:rsidP="006912FF">
      <w:pPr>
        <w:ind w:left="0"/>
        <w:rPr>
          <w:rFonts w:ascii="Roboto" w:hAnsi="Roboto"/>
        </w:rPr>
      </w:pPr>
      <w:r w:rsidRPr="00B639C9">
        <w:rPr>
          <w:rFonts w:ascii="Roboto" w:hAnsi="Roboto"/>
        </w:rPr>
        <w:t>Geschäftsbereichsleiter</w:t>
      </w:r>
      <w:r w:rsidR="00D657E2" w:rsidRPr="00B639C9">
        <w:rPr>
          <w:rFonts w:ascii="Roboto" w:hAnsi="Roboto"/>
        </w:rPr>
        <w:t>in</w:t>
      </w:r>
    </w:p>
    <w:p w:rsidR="00D657E2" w:rsidRDefault="00D657E2" w:rsidP="006912FF">
      <w:pPr>
        <w:ind w:left="0"/>
        <w:rPr>
          <w:rFonts w:ascii="Roboto" w:hAnsi="Roboto"/>
        </w:rPr>
      </w:pPr>
    </w:p>
    <w:p w:rsidR="00D657E2" w:rsidRPr="0070229F" w:rsidRDefault="00D657E2" w:rsidP="006912FF">
      <w:pPr>
        <w:ind w:left="0"/>
        <w:rPr>
          <w:rFonts w:ascii="Roboto" w:hAnsi="Roboto"/>
        </w:rPr>
      </w:pPr>
    </w:p>
    <w:sectPr w:rsidR="00D657E2" w:rsidRPr="007022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FF"/>
    <w:rsid w:val="00116333"/>
    <w:rsid w:val="00201564"/>
    <w:rsid w:val="00230493"/>
    <w:rsid w:val="002830E9"/>
    <w:rsid w:val="002D18F5"/>
    <w:rsid w:val="00524530"/>
    <w:rsid w:val="00554D32"/>
    <w:rsid w:val="005977B1"/>
    <w:rsid w:val="005F1E5D"/>
    <w:rsid w:val="006912FF"/>
    <w:rsid w:val="0070229F"/>
    <w:rsid w:val="00761E3D"/>
    <w:rsid w:val="007B136F"/>
    <w:rsid w:val="007C63E5"/>
    <w:rsid w:val="007E36D6"/>
    <w:rsid w:val="00890E61"/>
    <w:rsid w:val="008B7599"/>
    <w:rsid w:val="008D4F7E"/>
    <w:rsid w:val="008E2257"/>
    <w:rsid w:val="00964F32"/>
    <w:rsid w:val="00A34B79"/>
    <w:rsid w:val="00AD1995"/>
    <w:rsid w:val="00B26D9D"/>
    <w:rsid w:val="00B639C9"/>
    <w:rsid w:val="00B6624E"/>
    <w:rsid w:val="00CF3147"/>
    <w:rsid w:val="00D24CC5"/>
    <w:rsid w:val="00D657E2"/>
    <w:rsid w:val="00F246D0"/>
    <w:rsid w:val="00F60687"/>
    <w:rsid w:val="00F6510F"/>
    <w:rsid w:val="00F660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27DB9-BDB1-4B3D-9AA0-FB0EEC28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12FF"/>
    <w:pPr>
      <w:spacing w:after="0" w:line="23" w:lineRule="atLeast"/>
      <w:ind w:left="1134"/>
      <w:jc w:val="both"/>
    </w:pPr>
    <w:rPr>
      <w:rFonts w:ascii="Arial"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6624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624E"/>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ckportal.bybn.de/?typ=reference&amp;y=100&amp;g=UVPG&amp;name=AN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LRA Augsburg</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Juergen</dc:creator>
  <cp:keywords/>
  <dc:description/>
  <cp:lastModifiedBy>Weber, Juergen</cp:lastModifiedBy>
  <cp:revision>15</cp:revision>
  <cp:lastPrinted>2023-06-29T04:52:00Z</cp:lastPrinted>
  <dcterms:created xsi:type="dcterms:W3CDTF">2019-05-23T12:09:00Z</dcterms:created>
  <dcterms:modified xsi:type="dcterms:W3CDTF">2023-06-29T04:53:00Z</dcterms:modified>
</cp:coreProperties>
</file>