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A9" w:rsidRPr="0073301E" w:rsidRDefault="001C72A9" w:rsidP="001C72A9">
      <w:r w:rsidRPr="0073301E">
        <w:t xml:space="preserve">Az. </w:t>
      </w:r>
      <w:r>
        <w:t>42-170/3/2 – 375</w:t>
      </w:r>
    </w:p>
    <w:p w:rsidR="001C72A9" w:rsidRPr="00D36854" w:rsidRDefault="001C72A9" w:rsidP="001C72A9">
      <w:pPr>
        <w:rPr>
          <w:b/>
        </w:rPr>
      </w:pPr>
      <w:r w:rsidRPr="00D36854">
        <w:rPr>
          <w:b/>
        </w:rPr>
        <w:t xml:space="preserve">Antrag </w:t>
      </w:r>
      <w:r w:rsidRPr="00D36854">
        <w:rPr>
          <w:b/>
        </w:rPr>
        <w:t xml:space="preserve">der Karl </w:t>
      </w:r>
      <w:proofErr w:type="spellStart"/>
      <w:r w:rsidRPr="00D36854">
        <w:rPr>
          <w:b/>
        </w:rPr>
        <w:t>Mossandl</w:t>
      </w:r>
      <w:proofErr w:type="spellEnd"/>
      <w:r w:rsidRPr="00D36854">
        <w:rPr>
          <w:b/>
        </w:rPr>
        <w:t xml:space="preserve"> GmbH &amp; Co. </w:t>
      </w:r>
      <w:r w:rsidRPr="00D36854">
        <w:rPr>
          <w:b/>
        </w:rPr>
        <w:t xml:space="preserve">nach § 4 BImSchG zur Errichtung und zum Betrieb einer Sandtrocknungsanlage und eines Trockenmörtelmischwerkes mit Altholzfeuerung auf dem Grundstück </w:t>
      </w:r>
      <w:proofErr w:type="spellStart"/>
      <w:r w:rsidRPr="00D36854">
        <w:rPr>
          <w:b/>
        </w:rPr>
        <w:t>Fl.Nr</w:t>
      </w:r>
      <w:proofErr w:type="spellEnd"/>
      <w:r w:rsidRPr="00D36854">
        <w:rPr>
          <w:b/>
        </w:rPr>
        <w:t xml:space="preserve">. 2501/11, </w:t>
      </w:r>
      <w:proofErr w:type="spellStart"/>
      <w:r w:rsidRPr="00D36854">
        <w:rPr>
          <w:b/>
        </w:rPr>
        <w:t>Gmk</w:t>
      </w:r>
      <w:proofErr w:type="spellEnd"/>
      <w:r w:rsidRPr="00D36854">
        <w:rPr>
          <w:b/>
        </w:rPr>
        <w:t xml:space="preserve">. </w:t>
      </w:r>
      <w:proofErr w:type="spellStart"/>
      <w:r w:rsidRPr="00D36854">
        <w:rPr>
          <w:b/>
        </w:rPr>
        <w:t>Mamming</w:t>
      </w:r>
      <w:proofErr w:type="spellEnd"/>
      <w:r w:rsidRPr="00D36854">
        <w:rPr>
          <w:b/>
        </w:rPr>
        <w:t xml:space="preserve"> (Anlage nach Ziffern 2.2 und 8.1.1.5 der 4. BImSchV)</w:t>
      </w:r>
    </w:p>
    <w:p w:rsidR="001C72A9" w:rsidRDefault="001C72A9" w:rsidP="001C72A9"/>
    <w:p w:rsidR="001C72A9" w:rsidRPr="0073301E" w:rsidRDefault="001C72A9" w:rsidP="001C72A9"/>
    <w:p w:rsidR="001C72A9" w:rsidRPr="0073301E" w:rsidRDefault="001C72A9" w:rsidP="001C72A9">
      <w:pPr>
        <w:numPr>
          <w:ilvl w:val="0"/>
          <w:numId w:val="1"/>
        </w:numPr>
        <w:rPr>
          <w:b/>
        </w:rPr>
      </w:pPr>
      <w:r w:rsidRPr="0073301E">
        <w:rPr>
          <w:b/>
        </w:rPr>
        <w:t>Aktenvermerk</w:t>
      </w:r>
      <w:r w:rsidRPr="0073301E">
        <w:rPr>
          <w:b/>
        </w:rPr>
        <w:br/>
      </w:r>
    </w:p>
    <w:p w:rsidR="001C72A9" w:rsidRDefault="001C72A9" w:rsidP="001C72A9">
      <w:r>
        <w:t xml:space="preserve">Die Firma </w:t>
      </w:r>
      <w:proofErr w:type="spellStart"/>
      <w:r>
        <w:t>Mossandl</w:t>
      </w:r>
      <w:proofErr w:type="spellEnd"/>
      <w:r>
        <w:t xml:space="preserve"> GmbH &amp; Co., Dingolfing, beantragt in Kooperation mit der Fa. Sievert Baustoffe GmbH &amp; Co. KG, Osnabrück, die Genehmigung nach § 4 BImSchG für die Errichtung und den Betrieb eines Trockenmörtelwerkes, einer Sandtrocknungsanlage und einer Anlage zur Erzeugung von Prozesswärme durch den Einsatz von Altholz A I und A II (Anlagen nach Ziffern 2.2 der 4. BImSchV (Hauptanlage) und 8.1.1.5 (Altholzfeuerung, Nebeneinrichtung</w:t>
      </w:r>
      <w:r>
        <w:t>)).</w:t>
      </w:r>
    </w:p>
    <w:p w:rsidR="001C72A9" w:rsidRDefault="001C72A9" w:rsidP="001C72A9">
      <w:r w:rsidRPr="0073301E">
        <w:t>Der Antrag auf Erteilung der immissionsschutzrecht</w:t>
      </w:r>
      <w:r>
        <w:t>lichen Genehmigung ging am 20.02.2020</w:t>
      </w:r>
      <w:r w:rsidRPr="0073301E">
        <w:t xml:space="preserve"> beim Landratsamt Dingolfing-Landau ein. </w:t>
      </w:r>
    </w:p>
    <w:p w:rsidR="001C72A9" w:rsidRDefault="001C72A9" w:rsidP="001C72A9">
      <w:r>
        <w:t>Gleichzeitig wurde die Zulassung des vorzeitigen Beginns beantragt.</w:t>
      </w:r>
    </w:p>
    <w:p w:rsidR="001C72A9" w:rsidRDefault="001C72A9" w:rsidP="001C72A9"/>
    <w:p w:rsidR="001C72A9" w:rsidRPr="0073301E" w:rsidRDefault="001C72A9" w:rsidP="001C72A9">
      <w:r>
        <w:t xml:space="preserve">Im Rahmen des Genehmigungsverfahrens ist eine </w:t>
      </w:r>
      <w:r>
        <w:t>allgemeine</w:t>
      </w:r>
      <w:r>
        <w:t xml:space="preserve"> Vorprüfung des Einzelfa</w:t>
      </w:r>
      <w:r>
        <w:t>lles durchzuführen (§ 7 Abs. 1 UVPG, Ziffer 8.1.1.3</w:t>
      </w:r>
      <w:r>
        <w:t xml:space="preserve"> des Gesetzes über die Umweltverträglichkeitsprüfung –UVPG).</w:t>
      </w:r>
    </w:p>
    <w:p w:rsidR="001C72A9" w:rsidRPr="0073301E" w:rsidRDefault="001C72A9" w:rsidP="001C72A9">
      <w:pPr>
        <w:pStyle w:val="Kopfzeile"/>
        <w:rPr>
          <w:szCs w:val="24"/>
        </w:rPr>
      </w:pPr>
    </w:p>
    <w:p w:rsidR="001C72A9" w:rsidRDefault="001C72A9" w:rsidP="001C72A9">
      <w:pPr>
        <w:jc w:val="both"/>
        <w:rPr>
          <w:kern w:val="16"/>
        </w:rPr>
      </w:pPr>
      <w:r w:rsidRPr="0073301E">
        <w:rPr>
          <w:kern w:val="16"/>
        </w:rPr>
        <w:t xml:space="preserve">Durch den Träger des Vorhabens wurden die wesentlichen Angaben nach Anlage 2 </w:t>
      </w:r>
      <w:r>
        <w:rPr>
          <w:kern w:val="16"/>
        </w:rPr>
        <w:t xml:space="preserve">zum UVPG </w:t>
      </w:r>
      <w:r w:rsidRPr="0073301E">
        <w:rPr>
          <w:kern w:val="16"/>
        </w:rPr>
        <w:t xml:space="preserve">im Rahmen des Zulassungsverfahrens </w:t>
      </w:r>
      <w:r w:rsidR="007B50C2">
        <w:rPr>
          <w:kern w:val="16"/>
        </w:rPr>
        <w:t>gemacht (s. Anlage 18 der Antragsunterlagen).</w:t>
      </w:r>
    </w:p>
    <w:p w:rsidR="007B50C2" w:rsidRPr="0073301E" w:rsidRDefault="007B50C2" w:rsidP="001C72A9">
      <w:pPr>
        <w:jc w:val="both"/>
        <w:rPr>
          <w:kern w:val="16"/>
        </w:rPr>
      </w:pPr>
    </w:p>
    <w:p w:rsidR="001C72A9" w:rsidRPr="0073301E" w:rsidRDefault="001C72A9" w:rsidP="001C72A9">
      <w:pPr>
        <w:jc w:val="both"/>
        <w:rPr>
          <w:kern w:val="16"/>
        </w:rPr>
      </w:pPr>
      <w:r>
        <w:rPr>
          <w:kern w:val="16"/>
        </w:rPr>
        <w:t xml:space="preserve">Gemäß § 7 Abs. 1 </w:t>
      </w:r>
      <w:proofErr w:type="spellStart"/>
      <w:r>
        <w:rPr>
          <w:kern w:val="16"/>
        </w:rPr>
        <w:t>i.V.m</w:t>
      </w:r>
      <w:proofErr w:type="spellEnd"/>
      <w:r>
        <w:rPr>
          <w:kern w:val="16"/>
        </w:rPr>
        <w:t>. Nr. 8.1.1.3</w:t>
      </w:r>
      <w:r w:rsidRPr="0073301E">
        <w:rPr>
          <w:kern w:val="16"/>
        </w:rPr>
        <w:t xml:space="preserve"> der Anlage 1 zum</w:t>
      </w:r>
      <w:r>
        <w:rPr>
          <w:kern w:val="16"/>
        </w:rPr>
        <w:t xml:space="preserve"> UVPG besteht für ein Vorhaben</w:t>
      </w:r>
      <w:r w:rsidRPr="0073301E">
        <w:rPr>
          <w:kern w:val="16"/>
        </w:rPr>
        <w:t xml:space="preserve"> die UVP-Pflicht, wenn das </w:t>
      </w:r>
      <w:r>
        <w:rPr>
          <w:kern w:val="16"/>
        </w:rPr>
        <w:t>Neuvorhaben nach Einschätzung der zuständigen Behörde</w:t>
      </w:r>
      <w:r w:rsidRPr="0073301E">
        <w:rPr>
          <w:kern w:val="16"/>
        </w:rPr>
        <w:t xml:space="preserve"> erhebliche nachteilige Umweltauswirkungen hervorrufen kann, die nach § 25 Abs. 2 bei der Zulassungsentscheidung zu berücksichtigen wären.</w:t>
      </w:r>
    </w:p>
    <w:p w:rsidR="001C72A9" w:rsidRPr="0073301E" w:rsidRDefault="00D36854" w:rsidP="001C72A9">
      <w:pPr>
        <w:jc w:val="both"/>
        <w:rPr>
          <w:kern w:val="16"/>
        </w:rPr>
      </w:pPr>
      <w:r>
        <w:rPr>
          <w:kern w:val="16"/>
        </w:rPr>
        <w:t xml:space="preserve">Das Vorhaben </w:t>
      </w:r>
      <w:bookmarkStart w:id="0" w:name="_GoBack"/>
      <w:bookmarkEnd w:id="0"/>
      <w:r w:rsidR="00ED451B">
        <w:rPr>
          <w:kern w:val="16"/>
        </w:rPr>
        <w:t xml:space="preserve">überschreitet </w:t>
      </w:r>
      <w:r>
        <w:rPr>
          <w:kern w:val="16"/>
        </w:rPr>
        <w:t>-</w:t>
      </w:r>
      <w:r w:rsidR="00ED451B">
        <w:rPr>
          <w:kern w:val="16"/>
        </w:rPr>
        <w:t xml:space="preserve">bedingt durch die Errichtung und den Betrieb der Altholzfeuerungsanlage -den </w:t>
      </w:r>
      <w:proofErr w:type="spellStart"/>
      <w:r w:rsidR="00ED451B">
        <w:rPr>
          <w:kern w:val="16"/>
        </w:rPr>
        <w:t>Prüf</w:t>
      </w:r>
      <w:r w:rsidR="001C72A9">
        <w:rPr>
          <w:kern w:val="16"/>
        </w:rPr>
        <w:t>wert</w:t>
      </w:r>
      <w:proofErr w:type="spellEnd"/>
      <w:r w:rsidR="001C72A9" w:rsidRPr="0073301E">
        <w:rPr>
          <w:kern w:val="16"/>
        </w:rPr>
        <w:t xml:space="preserve"> </w:t>
      </w:r>
      <w:r w:rsidR="00ED451B">
        <w:rPr>
          <w:kern w:val="16"/>
        </w:rPr>
        <w:t>nach Ziffer 8.1.1.3</w:t>
      </w:r>
      <w:r w:rsidR="001C72A9">
        <w:rPr>
          <w:kern w:val="16"/>
        </w:rPr>
        <w:t xml:space="preserve"> des Anhangs zum UVPG</w:t>
      </w:r>
      <w:r w:rsidR="001C72A9" w:rsidRPr="0073301E">
        <w:rPr>
          <w:kern w:val="16"/>
        </w:rPr>
        <w:t xml:space="preserve">. </w:t>
      </w:r>
    </w:p>
    <w:p w:rsidR="001C72A9" w:rsidRPr="0073301E" w:rsidRDefault="001C72A9" w:rsidP="001C72A9">
      <w:pPr>
        <w:jc w:val="both"/>
        <w:rPr>
          <w:kern w:val="16"/>
        </w:rPr>
      </w:pPr>
      <w:r>
        <w:rPr>
          <w:kern w:val="16"/>
        </w:rPr>
        <w:t>Es war somit erstmals eine</w:t>
      </w:r>
      <w:r w:rsidRPr="0073301E">
        <w:rPr>
          <w:kern w:val="16"/>
        </w:rPr>
        <w:t xml:space="preserve"> </w:t>
      </w:r>
      <w:r w:rsidR="00ED451B" w:rsidRPr="00ED451B">
        <w:rPr>
          <w:kern w:val="16"/>
        </w:rPr>
        <w:t>allgemeine</w:t>
      </w:r>
      <w:r w:rsidR="00ED451B">
        <w:rPr>
          <w:kern w:val="16"/>
        </w:rPr>
        <w:t xml:space="preserve"> </w:t>
      </w:r>
      <w:r w:rsidRPr="00ED451B">
        <w:rPr>
          <w:kern w:val="16"/>
        </w:rPr>
        <w:t>Vorprüfung</w:t>
      </w:r>
      <w:r w:rsidRPr="0073301E">
        <w:rPr>
          <w:kern w:val="16"/>
        </w:rPr>
        <w:t xml:space="preserve"> im Rahmen dieser Beantragung durchzuführen, der Einwirkungsbereich wurde mit einem Radius von 1 km festgelegt.</w:t>
      </w:r>
    </w:p>
    <w:p w:rsidR="001C72A9" w:rsidRPr="0073301E" w:rsidRDefault="001C72A9" w:rsidP="001C72A9">
      <w:pPr>
        <w:jc w:val="both"/>
        <w:rPr>
          <w:kern w:val="16"/>
        </w:rPr>
      </w:pPr>
    </w:p>
    <w:p w:rsidR="001C72A9" w:rsidRPr="0073301E" w:rsidRDefault="00ED451B" w:rsidP="001C72A9">
      <w:pPr>
        <w:rPr>
          <w:kern w:val="16"/>
        </w:rPr>
      </w:pPr>
      <w:r>
        <w:rPr>
          <w:kern w:val="16"/>
        </w:rPr>
        <w:t>Gemäß § 7 Abs. 1</w:t>
      </w:r>
      <w:r w:rsidR="001C72A9">
        <w:rPr>
          <w:kern w:val="16"/>
        </w:rPr>
        <w:t xml:space="preserve"> </w:t>
      </w:r>
      <w:r w:rsidR="001C72A9" w:rsidRPr="0073301E">
        <w:rPr>
          <w:kern w:val="16"/>
        </w:rPr>
        <w:t>UVPG s</w:t>
      </w:r>
      <w:r>
        <w:rPr>
          <w:kern w:val="16"/>
        </w:rPr>
        <w:t>owie Ziffer 8.1.1.3</w:t>
      </w:r>
      <w:r w:rsidR="001C72A9">
        <w:rPr>
          <w:kern w:val="16"/>
        </w:rPr>
        <w:t xml:space="preserve"> der Anlage 1 zum UVPG ist </w:t>
      </w:r>
      <w:r>
        <w:rPr>
          <w:kern w:val="16"/>
        </w:rPr>
        <w:t xml:space="preserve">im Rahmen der allgemeinen </w:t>
      </w:r>
      <w:r w:rsidR="001C72A9" w:rsidRPr="0073301E">
        <w:rPr>
          <w:kern w:val="16"/>
        </w:rPr>
        <w:t>Vorprüfung des Einzelfalles (überschl</w:t>
      </w:r>
      <w:r>
        <w:rPr>
          <w:kern w:val="16"/>
        </w:rPr>
        <w:t>ägige Prüfung)</w:t>
      </w:r>
      <w:r w:rsidR="001C72A9" w:rsidRPr="0073301E">
        <w:rPr>
          <w:kern w:val="16"/>
        </w:rPr>
        <w:t xml:space="preserve"> unter Berücksicht</w:t>
      </w:r>
      <w:r>
        <w:rPr>
          <w:kern w:val="16"/>
        </w:rPr>
        <w:t>igung der in Anlage 3</w:t>
      </w:r>
      <w:r w:rsidR="001C72A9" w:rsidRPr="0073301E">
        <w:rPr>
          <w:kern w:val="16"/>
        </w:rPr>
        <w:t xml:space="preserve"> zum UVPG aufgeführten Schutzkriterien festzustellen, ob </w:t>
      </w:r>
      <w:r>
        <w:rPr>
          <w:kern w:val="16"/>
        </w:rPr>
        <w:t>d</w:t>
      </w:r>
      <w:r w:rsidR="001C72A9" w:rsidRPr="0073301E">
        <w:rPr>
          <w:kern w:val="16"/>
        </w:rPr>
        <w:t>as Vorhaben erhebliche nachteilige Umweltauswirkungen haben kann, die die besondere Empfindlichkeit oder die Schutzziele des Gebietes betreffen und deshalb die Verpflichtung zur Durchführung einer förmlichen Umweltverträglichkeitsprüfung nach den Vorschriften des UVPG besteht.</w:t>
      </w:r>
    </w:p>
    <w:p w:rsidR="001C72A9" w:rsidRPr="0073301E" w:rsidRDefault="001C72A9" w:rsidP="001C72A9">
      <w:pPr>
        <w:rPr>
          <w:kern w:val="16"/>
        </w:rPr>
      </w:pPr>
    </w:p>
    <w:p w:rsidR="001C72A9" w:rsidRDefault="001C72A9" w:rsidP="001C72A9">
      <w:pPr>
        <w:jc w:val="both"/>
        <w:rPr>
          <w:kern w:val="16"/>
        </w:rPr>
      </w:pPr>
      <w:r w:rsidRPr="0073301E">
        <w:rPr>
          <w:kern w:val="16"/>
        </w:rPr>
        <w:t>Wie sich aus den Unterlagen ergibt, sind im Einwirkungsbereich der Anlage mehrer</w:t>
      </w:r>
      <w:r w:rsidR="00D36854">
        <w:rPr>
          <w:kern w:val="16"/>
        </w:rPr>
        <w:t>e</w:t>
      </w:r>
      <w:r>
        <w:rPr>
          <w:kern w:val="16"/>
        </w:rPr>
        <w:t xml:space="preserve"> gesetzlich geschützte Biotope nach § 30 BNatSchG </w:t>
      </w:r>
      <w:r w:rsidR="00A15580">
        <w:rPr>
          <w:kern w:val="16"/>
        </w:rPr>
        <w:t>vorhanden. Zudem befindet sich in ca. 350 m Entfernung das FFH-Gebiet „Unteres Isartal zwischen Niederviehbach und Landau (DE 7341-301).</w:t>
      </w:r>
    </w:p>
    <w:p w:rsidR="00DA4AA3" w:rsidRDefault="00DA4AA3" w:rsidP="001C72A9">
      <w:pPr>
        <w:jc w:val="both"/>
        <w:rPr>
          <w:kern w:val="16"/>
        </w:rPr>
      </w:pPr>
      <w:r>
        <w:rPr>
          <w:kern w:val="16"/>
        </w:rPr>
        <w:t>Nach der Stellungnahme der Fachkraft für Naturschutz wurden die naturschutzfachlichen Anforderungen in der zugrundeliegenden Bauleitplanung berücksichtigt.</w:t>
      </w:r>
      <w:r w:rsidR="00D36854">
        <w:rPr>
          <w:kern w:val="16"/>
        </w:rPr>
        <w:t xml:space="preserve"> In der Ausg</w:t>
      </w:r>
      <w:r>
        <w:rPr>
          <w:kern w:val="16"/>
        </w:rPr>
        <w:t>l</w:t>
      </w:r>
      <w:r w:rsidR="00D36854">
        <w:rPr>
          <w:kern w:val="16"/>
        </w:rPr>
        <w:t>e</w:t>
      </w:r>
      <w:r>
        <w:rPr>
          <w:kern w:val="16"/>
        </w:rPr>
        <w:t xml:space="preserve">ichskonzeption wurden entsprechende Ausgleichsmaßnahmen insbesondere für seltene Amphibienarten wie für den Laubfrosch und die Kreuzkröte festgelegt. Südlich des Vorhabens im Bereich des geplanten Regenrückhaltebeckens ist ein Fachlachwasserteich vorhanden, der </w:t>
      </w:r>
      <w:r>
        <w:rPr>
          <w:kern w:val="16"/>
        </w:rPr>
        <w:lastRenderedPageBreak/>
        <w:t>u.a. auch Amphibienarten als Lebensraum dient. Die kartierten Artennachweise haben Auswirkungen auf die Freiflächengestaltung. Durch im Bescheid festzusetzende entsprechende Maßnahmen zum Schutz des Lebensraumes für Amphibien und Umsetzung des vorgelegten Freiflächengestaltungsplanes kann jedoch den naturschutzfachlichen Belangen ausreichend Rechnung getragen werden. Eine UVP-Pflicht ist für das Vorhaben aus naturschutzfachlicher Sicht nicht gegeben.</w:t>
      </w:r>
    </w:p>
    <w:p w:rsidR="00DA4AA3" w:rsidRDefault="00DA4AA3" w:rsidP="001C72A9">
      <w:pPr>
        <w:jc w:val="both"/>
        <w:rPr>
          <w:kern w:val="16"/>
        </w:rPr>
      </w:pPr>
    </w:p>
    <w:p w:rsidR="00DA4AA3" w:rsidRDefault="00DA4AA3" w:rsidP="001C72A9">
      <w:pPr>
        <w:jc w:val="both"/>
        <w:rPr>
          <w:kern w:val="16"/>
        </w:rPr>
      </w:pPr>
      <w:r>
        <w:rPr>
          <w:kern w:val="16"/>
        </w:rPr>
        <w:t xml:space="preserve">Weiterhin können durch das Vorhaben Umweltauswirkungen in Form von </w:t>
      </w:r>
    </w:p>
    <w:p w:rsidR="007B50C2" w:rsidRDefault="007B50C2" w:rsidP="001C72A9">
      <w:pPr>
        <w:jc w:val="both"/>
        <w:rPr>
          <w:kern w:val="16"/>
        </w:rPr>
      </w:pPr>
      <w:r>
        <w:rPr>
          <w:kern w:val="16"/>
        </w:rPr>
        <w:t>-Emissionen von Luftschadstoffen</w:t>
      </w:r>
    </w:p>
    <w:p w:rsidR="007B50C2" w:rsidRDefault="007B50C2" w:rsidP="001C72A9">
      <w:pPr>
        <w:jc w:val="both"/>
        <w:rPr>
          <w:kern w:val="16"/>
        </w:rPr>
      </w:pPr>
      <w:r>
        <w:rPr>
          <w:kern w:val="16"/>
        </w:rPr>
        <w:t>-Emissionen von Gerüchen</w:t>
      </w:r>
    </w:p>
    <w:p w:rsidR="007B50C2" w:rsidRDefault="007B50C2" w:rsidP="001C72A9">
      <w:pPr>
        <w:jc w:val="both"/>
        <w:rPr>
          <w:kern w:val="16"/>
        </w:rPr>
      </w:pPr>
      <w:r>
        <w:rPr>
          <w:kern w:val="16"/>
        </w:rPr>
        <w:t>-Erschütterungen</w:t>
      </w:r>
    </w:p>
    <w:p w:rsidR="007B50C2" w:rsidRDefault="007B50C2" w:rsidP="001C72A9">
      <w:pPr>
        <w:jc w:val="both"/>
        <w:rPr>
          <w:kern w:val="16"/>
        </w:rPr>
      </w:pPr>
      <w:r>
        <w:rPr>
          <w:kern w:val="16"/>
        </w:rPr>
        <w:t>-Emissionen von Lärm</w:t>
      </w:r>
    </w:p>
    <w:p w:rsidR="007B50C2" w:rsidRDefault="007B50C2" w:rsidP="001C72A9">
      <w:pPr>
        <w:jc w:val="both"/>
        <w:rPr>
          <w:kern w:val="16"/>
        </w:rPr>
      </w:pPr>
      <w:r>
        <w:rPr>
          <w:kern w:val="16"/>
        </w:rPr>
        <w:t xml:space="preserve">-Auswirkungen des anlagenbezogenen Verkehrs </w:t>
      </w:r>
    </w:p>
    <w:p w:rsidR="007B50C2" w:rsidRDefault="007B50C2" w:rsidP="001C72A9">
      <w:pPr>
        <w:jc w:val="both"/>
        <w:rPr>
          <w:kern w:val="16"/>
        </w:rPr>
      </w:pPr>
      <w:r>
        <w:rPr>
          <w:kern w:val="16"/>
        </w:rPr>
        <w:t>entstehen.</w:t>
      </w:r>
    </w:p>
    <w:p w:rsidR="007B50C2" w:rsidRDefault="007B50C2" w:rsidP="001C72A9">
      <w:pPr>
        <w:jc w:val="both"/>
        <w:rPr>
          <w:kern w:val="16"/>
        </w:rPr>
      </w:pPr>
    </w:p>
    <w:p w:rsidR="001C72A9" w:rsidRDefault="007B50C2" w:rsidP="001C72A9">
      <w:pPr>
        <w:jc w:val="both"/>
        <w:rPr>
          <w:kern w:val="16"/>
        </w:rPr>
      </w:pPr>
      <w:r>
        <w:rPr>
          <w:kern w:val="16"/>
        </w:rPr>
        <w:t xml:space="preserve">In der Ausarbeitung des Ing. </w:t>
      </w:r>
      <w:proofErr w:type="spellStart"/>
      <w:r>
        <w:rPr>
          <w:kern w:val="16"/>
        </w:rPr>
        <w:t>büros</w:t>
      </w:r>
      <w:proofErr w:type="spellEnd"/>
      <w:r>
        <w:rPr>
          <w:kern w:val="16"/>
        </w:rPr>
        <w:t xml:space="preserve"> </w:t>
      </w:r>
      <w:proofErr w:type="spellStart"/>
      <w:r>
        <w:rPr>
          <w:kern w:val="16"/>
        </w:rPr>
        <w:t>Gicon</w:t>
      </w:r>
      <w:proofErr w:type="spellEnd"/>
      <w:r>
        <w:rPr>
          <w:kern w:val="16"/>
        </w:rPr>
        <w:t xml:space="preserve"> zur allgemeinen Vorprüfung werden hierbei allenfalls geringe oder unbedeutenden Auswirkungen prognostiziert.</w:t>
      </w:r>
    </w:p>
    <w:p w:rsidR="007B50C2" w:rsidRPr="0073301E" w:rsidRDefault="007B50C2" w:rsidP="001C72A9">
      <w:pPr>
        <w:jc w:val="both"/>
        <w:rPr>
          <w:kern w:val="16"/>
        </w:rPr>
      </w:pPr>
      <w:r>
        <w:rPr>
          <w:kern w:val="16"/>
        </w:rPr>
        <w:t xml:space="preserve">Nach Durchsicht und Prüfung dieser Voruntersuchung und der sonstigen umweltfachlichen Belange kann davon ausgegangen werden, dass das Vorhaben unter Beachtung bestimmter noch im Genehmigungsbescheid zu formulierender </w:t>
      </w:r>
      <w:r w:rsidR="00B1701C">
        <w:rPr>
          <w:kern w:val="16"/>
        </w:rPr>
        <w:t>Auflagen insgesamt nur geringe Umweltauswirkungen verursacht.</w:t>
      </w:r>
    </w:p>
    <w:p w:rsidR="001C72A9" w:rsidRPr="0073301E" w:rsidRDefault="001C72A9" w:rsidP="001C72A9">
      <w:pPr>
        <w:jc w:val="both"/>
        <w:rPr>
          <w:kern w:val="16"/>
        </w:rPr>
      </w:pPr>
    </w:p>
    <w:p w:rsidR="001C72A9" w:rsidRDefault="001C72A9" w:rsidP="001C72A9">
      <w:pPr>
        <w:jc w:val="both"/>
        <w:rPr>
          <w:kern w:val="16"/>
        </w:rPr>
      </w:pPr>
      <w:r w:rsidRPr="0073301E">
        <w:rPr>
          <w:kern w:val="16"/>
        </w:rPr>
        <w:t xml:space="preserve">Die Stellungnahmen der übrigen maßgebenden Fachstellen haben </w:t>
      </w:r>
      <w:r w:rsidR="00B1701C">
        <w:rPr>
          <w:kern w:val="16"/>
        </w:rPr>
        <w:t xml:space="preserve">auch </w:t>
      </w:r>
      <w:r w:rsidRPr="0073301E">
        <w:rPr>
          <w:kern w:val="16"/>
        </w:rPr>
        <w:t>keine Anhaltspun</w:t>
      </w:r>
      <w:r w:rsidR="00B1701C">
        <w:rPr>
          <w:kern w:val="16"/>
        </w:rPr>
        <w:t xml:space="preserve">kte dafür ergeben, dass durch das Vorhaben </w:t>
      </w:r>
      <w:r w:rsidRPr="0073301E">
        <w:rPr>
          <w:kern w:val="16"/>
        </w:rPr>
        <w:t>erheblich nachteilig</w:t>
      </w:r>
      <w:r w:rsidR="00B1701C">
        <w:rPr>
          <w:kern w:val="16"/>
        </w:rPr>
        <w:t>e hervorgerufen werden können</w:t>
      </w:r>
    </w:p>
    <w:p w:rsidR="001C72A9" w:rsidRDefault="001C72A9" w:rsidP="001C72A9">
      <w:pPr>
        <w:jc w:val="both"/>
        <w:rPr>
          <w:kern w:val="16"/>
        </w:rPr>
      </w:pPr>
    </w:p>
    <w:p w:rsidR="001C72A9" w:rsidRPr="00442ABC" w:rsidRDefault="001C72A9" w:rsidP="001C72A9">
      <w:pPr>
        <w:jc w:val="both"/>
        <w:rPr>
          <w:b/>
          <w:kern w:val="16"/>
        </w:rPr>
      </w:pPr>
      <w:r w:rsidRPr="00442ABC">
        <w:rPr>
          <w:b/>
          <w:kern w:val="16"/>
        </w:rPr>
        <w:t>Die Durchführung einer Umweltverträglichkeitsprüfung ist somit nicht erforderlich.</w:t>
      </w:r>
    </w:p>
    <w:p w:rsidR="001C72A9" w:rsidRDefault="001C72A9" w:rsidP="001C72A9">
      <w:pPr>
        <w:jc w:val="both"/>
        <w:rPr>
          <w:kern w:val="16"/>
        </w:rPr>
      </w:pPr>
    </w:p>
    <w:p w:rsidR="001C72A9" w:rsidRDefault="001C72A9" w:rsidP="001C72A9">
      <w:pPr>
        <w:jc w:val="both"/>
        <w:rPr>
          <w:kern w:val="16"/>
        </w:rPr>
      </w:pPr>
    </w:p>
    <w:p w:rsidR="001C72A9" w:rsidRPr="0073301E" w:rsidRDefault="001C72A9" w:rsidP="001C72A9">
      <w:pPr>
        <w:jc w:val="both"/>
        <w:rPr>
          <w:kern w:val="16"/>
        </w:rPr>
      </w:pPr>
    </w:p>
    <w:p w:rsidR="001C72A9" w:rsidRPr="0073301E" w:rsidRDefault="001C72A9" w:rsidP="001C72A9">
      <w:pPr>
        <w:jc w:val="both"/>
        <w:rPr>
          <w:kern w:val="16"/>
        </w:rPr>
      </w:pPr>
      <w:r w:rsidRPr="0073301E">
        <w:rPr>
          <w:kern w:val="16"/>
        </w:rPr>
        <w:t>Die Entscheidung wird g</w:t>
      </w:r>
      <w:r w:rsidR="00B1701C">
        <w:rPr>
          <w:kern w:val="16"/>
        </w:rPr>
        <w:t>emäß § 5 Abs. 2 UVPG im UVP-Portal Bayern</w:t>
      </w:r>
      <w:r w:rsidRPr="0073301E">
        <w:rPr>
          <w:kern w:val="16"/>
        </w:rPr>
        <w:t xml:space="preserve"> öffentlich bekanntgegeben.</w:t>
      </w:r>
    </w:p>
    <w:p w:rsidR="001C72A9" w:rsidRDefault="001C72A9" w:rsidP="001C72A9">
      <w:pPr>
        <w:pStyle w:val="Textkrper"/>
        <w:jc w:val="both"/>
        <w:rPr>
          <w:rFonts w:ascii="Times New Roman" w:hAnsi="Times New Roman"/>
          <w:sz w:val="24"/>
          <w:szCs w:val="24"/>
        </w:rPr>
      </w:pPr>
    </w:p>
    <w:p w:rsidR="001C72A9" w:rsidRDefault="001C72A9" w:rsidP="001C72A9">
      <w:pPr>
        <w:pStyle w:val="Textkrper"/>
        <w:jc w:val="both"/>
        <w:rPr>
          <w:rFonts w:ascii="Times New Roman" w:hAnsi="Times New Roman"/>
          <w:sz w:val="24"/>
          <w:szCs w:val="24"/>
        </w:rPr>
      </w:pPr>
    </w:p>
    <w:p w:rsidR="001C72A9" w:rsidRPr="0073301E" w:rsidRDefault="001C72A9" w:rsidP="001C72A9">
      <w:pPr>
        <w:pStyle w:val="Textkrper"/>
        <w:jc w:val="both"/>
        <w:rPr>
          <w:rFonts w:ascii="Times New Roman" w:hAnsi="Times New Roman"/>
          <w:sz w:val="24"/>
          <w:szCs w:val="24"/>
        </w:rPr>
      </w:pPr>
    </w:p>
    <w:p w:rsidR="001C72A9" w:rsidRPr="0073301E" w:rsidRDefault="001C72A9" w:rsidP="001C72A9">
      <w:pPr>
        <w:pStyle w:val="Textkrper"/>
        <w:jc w:val="both"/>
        <w:rPr>
          <w:rFonts w:ascii="Times New Roman" w:hAnsi="Times New Roman"/>
          <w:sz w:val="24"/>
          <w:szCs w:val="24"/>
        </w:rPr>
      </w:pPr>
    </w:p>
    <w:p w:rsidR="001C72A9" w:rsidRPr="0073301E" w:rsidRDefault="001C72A9" w:rsidP="001C72A9">
      <w:pPr>
        <w:pStyle w:val="Textkrper"/>
        <w:jc w:val="both"/>
        <w:rPr>
          <w:rFonts w:ascii="Times New Roman" w:hAnsi="Times New Roman"/>
          <w:sz w:val="24"/>
          <w:szCs w:val="24"/>
        </w:rPr>
      </w:pPr>
      <w:r w:rsidRPr="0073301E">
        <w:rPr>
          <w:rFonts w:ascii="Times New Roman" w:hAnsi="Times New Roman"/>
          <w:sz w:val="24"/>
          <w:szCs w:val="24"/>
        </w:rPr>
        <w:t>Landratsamt Dingolfing-Landau</w:t>
      </w:r>
      <w:r>
        <w:rPr>
          <w:rFonts w:ascii="Times New Roman" w:hAnsi="Times New Roman"/>
          <w:sz w:val="24"/>
          <w:szCs w:val="24"/>
        </w:rPr>
        <w:t xml:space="preserve">, </w:t>
      </w:r>
    </w:p>
    <w:p w:rsidR="001C72A9" w:rsidRPr="0073301E" w:rsidRDefault="001C72A9" w:rsidP="001C72A9">
      <w:pPr>
        <w:pStyle w:val="Textkrper"/>
        <w:jc w:val="both"/>
        <w:rPr>
          <w:rFonts w:ascii="Times New Roman" w:hAnsi="Times New Roman"/>
          <w:sz w:val="24"/>
          <w:szCs w:val="24"/>
        </w:rPr>
      </w:pPr>
      <w:r w:rsidRPr="0073301E">
        <w:rPr>
          <w:rFonts w:ascii="Times New Roman" w:hAnsi="Times New Roman"/>
          <w:sz w:val="24"/>
          <w:szCs w:val="24"/>
        </w:rPr>
        <w:t>SG 42</w:t>
      </w:r>
    </w:p>
    <w:p w:rsidR="001C72A9" w:rsidRDefault="001C72A9" w:rsidP="001C72A9">
      <w:pPr>
        <w:pStyle w:val="Textkrper"/>
        <w:jc w:val="both"/>
        <w:rPr>
          <w:rFonts w:ascii="Times New Roman" w:hAnsi="Times New Roman"/>
          <w:sz w:val="24"/>
          <w:szCs w:val="24"/>
        </w:rPr>
      </w:pPr>
    </w:p>
    <w:p w:rsidR="001C72A9" w:rsidRPr="0073301E" w:rsidRDefault="001C72A9" w:rsidP="001C72A9">
      <w:pPr>
        <w:pStyle w:val="Textkrper"/>
        <w:jc w:val="both"/>
        <w:rPr>
          <w:rFonts w:ascii="Times New Roman" w:hAnsi="Times New Roman"/>
          <w:sz w:val="24"/>
          <w:szCs w:val="24"/>
        </w:rPr>
      </w:pPr>
    </w:p>
    <w:p w:rsidR="001C72A9" w:rsidRPr="0073301E" w:rsidRDefault="001C72A9" w:rsidP="001C72A9">
      <w:pPr>
        <w:pStyle w:val="Textkrper"/>
        <w:jc w:val="both"/>
        <w:rPr>
          <w:rFonts w:ascii="Times New Roman" w:hAnsi="Times New Roman"/>
          <w:sz w:val="24"/>
          <w:szCs w:val="24"/>
        </w:rPr>
      </w:pPr>
      <w:r w:rsidRPr="0073301E">
        <w:rPr>
          <w:rFonts w:ascii="Times New Roman" w:hAnsi="Times New Roman"/>
          <w:sz w:val="24"/>
          <w:szCs w:val="24"/>
        </w:rPr>
        <w:t>Kerstin Kameter-Schenkl</w:t>
      </w:r>
    </w:p>
    <w:p w:rsidR="001C72A9" w:rsidRDefault="001C72A9" w:rsidP="001C72A9">
      <w:pPr>
        <w:pStyle w:val="Textkrper"/>
        <w:jc w:val="both"/>
        <w:rPr>
          <w:rFonts w:ascii="Times New Roman" w:hAnsi="Times New Roman"/>
          <w:sz w:val="24"/>
          <w:szCs w:val="24"/>
        </w:rPr>
      </w:pPr>
    </w:p>
    <w:p w:rsidR="001C72A9" w:rsidRDefault="001C72A9" w:rsidP="001C72A9">
      <w:pPr>
        <w:pStyle w:val="Textkrper"/>
        <w:jc w:val="both"/>
        <w:rPr>
          <w:rFonts w:ascii="Times New Roman" w:hAnsi="Times New Roman"/>
          <w:sz w:val="24"/>
          <w:szCs w:val="24"/>
        </w:rPr>
      </w:pPr>
    </w:p>
    <w:p w:rsidR="001C72A9" w:rsidRPr="0073301E" w:rsidRDefault="001C72A9" w:rsidP="001C72A9">
      <w:pPr>
        <w:pStyle w:val="Textkrper"/>
        <w:jc w:val="both"/>
        <w:rPr>
          <w:rFonts w:ascii="Times New Roman" w:hAnsi="Times New Roman"/>
          <w:sz w:val="24"/>
          <w:szCs w:val="24"/>
        </w:rPr>
      </w:pPr>
    </w:p>
    <w:p w:rsidR="001C72A9" w:rsidRPr="0073301E" w:rsidRDefault="001C72A9" w:rsidP="001C72A9">
      <w:pPr>
        <w:pStyle w:val="Textkrper"/>
        <w:jc w:val="both"/>
        <w:rPr>
          <w:rFonts w:ascii="Times New Roman" w:hAnsi="Times New Roman"/>
          <w:sz w:val="24"/>
          <w:szCs w:val="24"/>
        </w:rPr>
      </w:pPr>
      <w:r w:rsidRPr="0073301E">
        <w:rPr>
          <w:rFonts w:ascii="Times New Roman" w:hAnsi="Times New Roman"/>
          <w:b/>
          <w:sz w:val="24"/>
          <w:szCs w:val="24"/>
        </w:rPr>
        <w:t>II. Z.A.</w:t>
      </w:r>
    </w:p>
    <w:p w:rsidR="005E62FC" w:rsidRDefault="005E62FC"/>
    <w:sectPr w:rsidR="005E62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53BA"/>
    <w:multiLevelType w:val="hybridMultilevel"/>
    <w:tmpl w:val="A1E6A326"/>
    <w:lvl w:ilvl="0" w:tplc="0148A71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A9"/>
    <w:rsid w:val="000B687B"/>
    <w:rsid w:val="00153D1E"/>
    <w:rsid w:val="001C72A9"/>
    <w:rsid w:val="005E62FC"/>
    <w:rsid w:val="007B50C2"/>
    <w:rsid w:val="008409C2"/>
    <w:rsid w:val="008D6C06"/>
    <w:rsid w:val="00906DC7"/>
    <w:rsid w:val="00965D72"/>
    <w:rsid w:val="00974BAA"/>
    <w:rsid w:val="0098770C"/>
    <w:rsid w:val="009C1713"/>
    <w:rsid w:val="00A15580"/>
    <w:rsid w:val="00AC613F"/>
    <w:rsid w:val="00B12F35"/>
    <w:rsid w:val="00B1701C"/>
    <w:rsid w:val="00BA50FD"/>
    <w:rsid w:val="00BC7203"/>
    <w:rsid w:val="00C425D7"/>
    <w:rsid w:val="00D36854"/>
    <w:rsid w:val="00DA4AA3"/>
    <w:rsid w:val="00DC5506"/>
    <w:rsid w:val="00ED451B"/>
    <w:rsid w:val="00EE6F1E"/>
    <w:rsid w:val="00EE7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B1E56"/>
  <w15:chartTrackingRefBased/>
  <w15:docId w15:val="{8F5CC861-3077-48C8-9A02-BE304E58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72A9"/>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link w:val="TextkrperZchn"/>
    <w:rsid w:val="001C72A9"/>
    <w:rPr>
      <w:rFonts w:ascii="Arial" w:hAnsi="Arial"/>
      <w:kern w:val="16"/>
      <w:sz w:val="22"/>
      <w:szCs w:val="20"/>
    </w:rPr>
  </w:style>
  <w:style w:type="character" w:customStyle="1" w:styleId="TextkrperZchn">
    <w:name w:val="Textkörper Zchn"/>
    <w:basedOn w:val="Absatz-Standardschriftart"/>
    <w:link w:val="Textkrper"/>
    <w:rsid w:val="001C72A9"/>
    <w:rPr>
      <w:rFonts w:ascii="Arial" w:hAnsi="Arial"/>
      <w:kern w:val="16"/>
      <w:sz w:val="22"/>
    </w:rPr>
  </w:style>
  <w:style w:type="paragraph" w:styleId="Kopfzeile">
    <w:name w:val="header"/>
    <w:basedOn w:val="Standard"/>
    <w:link w:val="KopfzeileZchn"/>
    <w:uiPriority w:val="99"/>
    <w:rsid w:val="001C72A9"/>
    <w:pPr>
      <w:tabs>
        <w:tab w:val="center" w:pos="4536"/>
        <w:tab w:val="right" w:pos="9072"/>
      </w:tabs>
    </w:pPr>
    <w:rPr>
      <w:szCs w:val="20"/>
    </w:rPr>
  </w:style>
  <w:style w:type="character" w:customStyle="1" w:styleId="KopfzeileZchn">
    <w:name w:val="Kopfzeile Zchn"/>
    <w:basedOn w:val="Absatz-Standardschriftart"/>
    <w:link w:val="Kopfzeile"/>
    <w:uiPriority w:val="99"/>
    <w:rsid w:val="001C72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2</Pages>
  <Words>595</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2</cp:revision>
  <dcterms:created xsi:type="dcterms:W3CDTF">2020-05-12T07:47:00Z</dcterms:created>
  <dcterms:modified xsi:type="dcterms:W3CDTF">2020-05-12T09:41:00Z</dcterms:modified>
</cp:coreProperties>
</file>