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06" w:rsidRPr="00DC2306" w:rsidRDefault="00B42E52" w:rsidP="00DC2306">
      <w:pPr>
        <w:jc w:val="both"/>
        <w:rPr>
          <w:rFonts w:eastAsia="Times New Roman" w:cs="Arial"/>
          <w:b/>
          <w:sz w:val="20"/>
          <w:szCs w:val="20"/>
          <w:u w:val="single"/>
          <w:lang w:eastAsia="de-DE"/>
        </w:rPr>
      </w:pPr>
      <w:r>
        <w:rPr>
          <w:rFonts w:eastAsia="Times New Roman" w:cs="Arial"/>
          <w:b/>
          <w:sz w:val="20"/>
          <w:szCs w:val="20"/>
          <w:u w:val="single"/>
          <w:lang w:eastAsia="de-DE"/>
        </w:rPr>
        <w:t>42-170/3/2-16.55</w:t>
      </w:r>
    </w:p>
    <w:p w:rsidR="00DC2306" w:rsidRPr="00DC2306" w:rsidRDefault="00DC2306" w:rsidP="00DC2306">
      <w:pPr>
        <w:jc w:val="both"/>
        <w:rPr>
          <w:rFonts w:eastAsia="Times New Roman" w:cs="Arial"/>
          <w:b/>
          <w:sz w:val="20"/>
          <w:szCs w:val="20"/>
          <w:u w:val="single"/>
          <w:lang w:eastAsia="de-DE"/>
        </w:rPr>
      </w:pPr>
    </w:p>
    <w:p w:rsidR="00DC2306" w:rsidRPr="00DC2306" w:rsidRDefault="00DC2306" w:rsidP="00DC2306">
      <w:pPr>
        <w:jc w:val="both"/>
        <w:rPr>
          <w:rFonts w:eastAsia="Times New Roman" w:cs="Arial"/>
          <w:b/>
          <w:sz w:val="20"/>
          <w:szCs w:val="20"/>
          <w:u w:val="single"/>
          <w:lang w:eastAsia="de-DE"/>
        </w:rPr>
      </w:pPr>
    </w:p>
    <w:p w:rsidR="00DC2306" w:rsidRPr="00DC2306" w:rsidRDefault="00DC2306" w:rsidP="00DC2306">
      <w:pPr>
        <w:tabs>
          <w:tab w:val="center" w:pos="4536"/>
          <w:tab w:val="right" w:pos="9072"/>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Immissionsschutz;</w:t>
      </w:r>
    </w:p>
    <w:p w:rsidR="00DC2306" w:rsidRPr="00DC2306" w:rsidRDefault="00DC2306" w:rsidP="00DC2306">
      <w:pPr>
        <w:tabs>
          <w:tab w:val="center" w:pos="4536"/>
          <w:tab w:val="right" w:pos="9072"/>
        </w:tabs>
        <w:rPr>
          <w:rFonts w:ascii="Times New Roman" w:eastAsia="Times New Roman" w:hAnsi="Times New Roman" w:cs="Times New Roman"/>
          <w:b/>
          <w:sz w:val="24"/>
          <w:szCs w:val="20"/>
          <w:lang w:eastAsia="de-DE"/>
        </w:rPr>
      </w:pPr>
      <w:r w:rsidRPr="00DC2306">
        <w:rPr>
          <w:rFonts w:ascii="Times New Roman" w:eastAsia="Times New Roman" w:hAnsi="Times New Roman" w:cs="Times New Roman"/>
          <w:b/>
          <w:sz w:val="24"/>
          <w:szCs w:val="20"/>
          <w:lang w:eastAsia="de-DE"/>
        </w:rPr>
        <w:t>Wesentliche Änderung der Anlage zum Bau und zur Montage von Kraftfahrzeugen nach Ziffer 3.24 der 4. BImSchV, Werk 2.4, durch Errichtung</w:t>
      </w:r>
      <w:r w:rsidR="00FA2993">
        <w:rPr>
          <w:rFonts w:ascii="Times New Roman" w:eastAsia="Times New Roman" w:hAnsi="Times New Roman" w:cs="Times New Roman"/>
          <w:b/>
          <w:sz w:val="24"/>
          <w:szCs w:val="20"/>
          <w:lang w:eastAsia="de-DE"/>
        </w:rPr>
        <w:t xml:space="preserve"> und Betrieb eines weiteren Gebäudes für den Karosserierohbau</w:t>
      </w:r>
      <w:r w:rsidR="00B42E52">
        <w:rPr>
          <w:rFonts w:ascii="Times New Roman" w:eastAsia="Times New Roman" w:hAnsi="Times New Roman" w:cs="Times New Roman"/>
          <w:b/>
          <w:sz w:val="24"/>
          <w:szCs w:val="20"/>
          <w:lang w:eastAsia="de-DE"/>
        </w:rPr>
        <w:t xml:space="preserve">, </w:t>
      </w:r>
      <w:r w:rsidR="00FA2993">
        <w:rPr>
          <w:rFonts w:ascii="Times New Roman" w:eastAsia="Times New Roman" w:hAnsi="Times New Roman" w:cs="Times New Roman"/>
          <w:b/>
          <w:sz w:val="24"/>
          <w:szCs w:val="20"/>
          <w:lang w:eastAsia="de-DE"/>
        </w:rPr>
        <w:t>Lückenschluss bei Gebäude Geb. 34.1</w:t>
      </w:r>
      <w:r w:rsidR="00B42E52">
        <w:rPr>
          <w:rFonts w:ascii="Times New Roman" w:eastAsia="Times New Roman" w:hAnsi="Times New Roman" w:cs="Times New Roman"/>
          <w:b/>
          <w:sz w:val="24"/>
          <w:szCs w:val="20"/>
          <w:lang w:eastAsia="de-DE"/>
        </w:rPr>
        <w:t xml:space="preserve">, </w:t>
      </w:r>
      <w:r w:rsidRPr="00DC2306">
        <w:rPr>
          <w:rFonts w:ascii="Times New Roman" w:eastAsia="Times New Roman" w:hAnsi="Times New Roman" w:cs="Times New Roman"/>
          <w:b/>
          <w:sz w:val="24"/>
          <w:szCs w:val="20"/>
          <w:lang w:eastAsia="de-DE"/>
        </w:rPr>
        <w:t>durch die BMW AG Dingolfing</w:t>
      </w:r>
    </w:p>
    <w:p w:rsidR="00DC2306" w:rsidRPr="00DC2306" w:rsidRDefault="00DC2306" w:rsidP="00DC2306">
      <w:pPr>
        <w:tabs>
          <w:tab w:val="center" w:pos="4536"/>
          <w:tab w:val="right" w:pos="9072"/>
        </w:tabs>
        <w:rPr>
          <w:rFonts w:ascii="Times New Roman" w:eastAsia="Times New Roman" w:hAnsi="Times New Roman" w:cs="Times New Roman"/>
          <w:sz w:val="24"/>
          <w:szCs w:val="20"/>
          <w:lang w:eastAsia="de-DE"/>
        </w:rPr>
      </w:pPr>
    </w:p>
    <w:p w:rsidR="00DC2306" w:rsidRPr="00DC2306" w:rsidRDefault="00DC2306" w:rsidP="00DC2306">
      <w:pPr>
        <w:tabs>
          <w:tab w:val="center" w:pos="4536"/>
          <w:tab w:val="right" w:pos="9072"/>
        </w:tabs>
        <w:rPr>
          <w:rFonts w:ascii="Times New Roman" w:eastAsia="Times New Roman" w:hAnsi="Times New Roman" w:cs="Times New Roman"/>
          <w:sz w:val="24"/>
          <w:szCs w:val="20"/>
          <w:lang w:eastAsia="de-DE"/>
        </w:rPr>
      </w:pPr>
    </w:p>
    <w:p w:rsidR="00DC2306" w:rsidRPr="00DC2306" w:rsidRDefault="00DC2306" w:rsidP="00DC2306">
      <w:pPr>
        <w:tabs>
          <w:tab w:val="center" w:pos="4536"/>
          <w:tab w:val="right" w:pos="9072"/>
        </w:tabs>
        <w:jc w:val="center"/>
        <w:rPr>
          <w:rFonts w:ascii="Times New Roman" w:eastAsia="Times New Roman" w:hAnsi="Times New Roman" w:cs="Times New Roman"/>
          <w:b/>
          <w:sz w:val="24"/>
          <w:szCs w:val="20"/>
          <w:lang w:eastAsia="de-DE"/>
        </w:rPr>
      </w:pPr>
      <w:r w:rsidRPr="00DC2306">
        <w:rPr>
          <w:rFonts w:ascii="Times New Roman" w:eastAsia="Times New Roman" w:hAnsi="Times New Roman" w:cs="Times New Roman"/>
          <w:b/>
          <w:sz w:val="24"/>
          <w:szCs w:val="20"/>
          <w:lang w:eastAsia="de-DE"/>
        </w:rPr>
        <w:t>AKTENVERMERK</w:t>
      </w:r>
    </w:p>
    <w:p w:rsidR="00DC2306" w:rsidRPr="00DC2306" w:rsidRDefault="00DC2306" w:rsidP="00DC2306">
      <w:pPr>
        <w:tabs>
          <w:tab w:val="center" w:pos="4536"/>
          <w:tab w:val="right" w:pos="9072"/>
        </w:tabs>
        <w:jc w:val="center"/>
        <w:rPr>
          <w:rFonts w:ascii="Times New Roman" w:eastAsia="Times New Roman" w:hAnsi="Times New Roman" w:cs="Times New Roman"/>
          <w:b/>
          <w:sz w:val="24"/>
          <w:szCs w:val="20"/>
          <w:lang w:eastAsia="de-DE"/>
        </w:rPr>
      </w:pPr>
      <w:r w:rsidRPr="00DC2306">
        <w:rPr>
          <w:rFonts w:ascii="Times New Roman" w:eastAsia="Times New Roman" w:hAnsi="Times New Roman" w:cs="Times New Roman"/>
          <w:b/>
          <w:sz w:val="24"/>
          <w:szCs w:val="20"/>
          <w:lang w:eastAsia="de-DE"/>
        </w:rPr>
        <w:t>zur Vorprüfung des Einzelfalles nach dem UVPG</w:t>
      </w:r>
    </w:p>
    <w:p w:rsidR="00DC2306" w:rsidRPr="00DC2306" w:rsidRDefault="00DC2306" w:rsidP="00DC2306">
      <w:pPr>
        <w:tabs>
          <w:tab w:val="center" w:pos="4536"/>
          <w:tab w:val="right" w:pos="9072"/>
        </w:tabs>
        <w:rPr>
          <w:rFonts w:ascii="Times New Roman" w:eastAsia="Times New Roman" w:hAnsi="Times New Roman" w:cs="Times New Roman"/>
          <w:b/>
          <w:sz w:val="24"/>
          <w:szCs w:val="20"/>
          <w:lang w:eastAsia="de-DE"/>
        </w:rPr>
      </w:pP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w:t>
      </w:r>
      <w:r w:rsidRPr="00DC2306">
        <w:rPr>
          <w:rFonts w:ascii="Times New Roman" w:eastAsia="Times New Roman" w:hAnsi="Times New Roman" w:cs="Times New Roman"/>
          <w:sz w:val="24"/>
          <w:szCs w:val="20"/>
          <w:u w:val="single"/>
          <w:lang w:eastAsia="de-DE"/>
        </w:rPr>
        <w:t>geänderte</w:t>
      </w:r>
      <w:r w:rsidRPr="00DC2306">
        <w:rPr>
          <w:rFonts w:ascii="Times New Roman" w:eastAsia="Times New Roman" w:hAnsi="Times New Roman" w:cs="Times New Roman"/>
          <w:sz w:val="24"/>
          <w:szCs w:val="20"/>
          <w:lang w:eastAsia="de-DE"/>
        </w:rPr>
        <w:t xml:space="preserve"> Vorhaben einen in Anlage 1 angegebenen </w:t>
      </w:r>
      <w:proofErr w:type="spellStart"/>
      <w:r w:rsidRPr="00DC2306">
        <w:rPr>
          <w:rFonts w:ascii="Times New Roman" w:eastAsia="Times New Roman" w:hAnsi="Times New Roman" w:cs="Times New Roman"/>
          <w:sz w:val="24"/>
          <w:szCs w:val="20"/>
          <w:lang w:eastAsia="de-DE"/>
        </w:rPr>
        <w:t>Prüfwert</w:t>
      </w:r>
      <w:proofErr w:type="spellEnd"/>
      <w:r w:rsidRPr="00DC2306">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DC2306">
        <w:rPr>
          <w:rFonts w:ascii="Times New Roman" w:eastAsia="Times New Roman" w:hAnsi="Times New Roman" w:cs="Times New Roman"/>
          <w:sz w:val="24"/>
          <w:szCs w:val="24"/>
          <w:lang w:eastAsia="de-DE"/>
        </w:rPr>
        <w:t xml:space="preserve"> (§ 9 Abs. 2 des Gesetzes über die Umweltverträglichkeitsprüfung (UVPG)).</w:t>
      </w: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 xml:space="preserve">Für die Gesamtanlage wurde noch </w:t>
      </w:r>
      <w:r w:rsidRPr="00DC2306">
        <w:rPr>
          <w:rFonts w:ascii="Times New Roman" w:eastAsia="Times New Roman" w:hAnsi="Times New Roman" w:cs="Times New Roman"/>
          <w:sz w:val="24"/>
          <w:szCs w:val="24"/>
          <w:u w:val="single"/>
          <w:lang w:eastAsia="de-DE"/>
        </w:rPr>
        <w:t>keine</w:t>
      </w:r>
      <w:r w:rsidRPr="00DC2306">
        <w:rPr>
          <w:rFonts w:ascii="Times New Roman" w:eastAsia="Times New Roman" w:hAnsi="Times New Roman" w:cs="Times New Roman"/>
          <w:sz w:val="24"/>
          <w:szCs w:val="24"/>
          <w:lang w:eastAsia="de-DE"/>
        </w:rPr>
        <w:t xml:space="preserve"> Umweltverträglichkeitsprüfung durchgeführt.</w:t>
      </w: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Nach Ziffer 3.14 des Anhangs zum UVPG ist die Anlage zum Bau und zur Montage von Kraftfahrzeugen mit der Pflicht zur Durchführung einer allgemeinen Vorprüfung des Einzelfalles genannt.</w:t>
      </w: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Die Maßnahmen zur Errichtung und zum Betrieb</w:t>
      </w:r>
      <w:r w:rsidR="00FA2993">
        <w:rPr>
          <w:rFonts w:ascii="Times New Roman" w:eastAsia="Times New Roman" w:hAnsi="Times New Roman" w:cs="Times New Roman"/>
          <w:sz w:val="24"/>
          <w:szCs w:val="24"/>
          <w:lang w:eastAsia="de-DE"/>
        </w:rPr>
        <w:t xml:space="preserve"> der neuen Halle für den Karosserierohbau bei Geb. 34.1 </w:t>
      </w:r>
      <w:r w:rsidRPr="00DC2306">
        <w:rPr>
          <w:rFonts w:ascii="Times New Roman" w:eastAsia="Times New Roman" w:hAnsi="Times New Roman" w:cs="Times New Roman"/>
          <w:sz w:val="24"/>
          <w:szCs w:val="24"/>
          <w:lang w:eastAsia="de-DE"/>
        </w:rPr>
        <w:t>sind im Rahmen einer allgemeinen Vorprüfung zu betrachten.</w:t>
      </w: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Als</w:t>
      </w:r>
      <w:r w:rsidR="00FA2993">
        <w:rPr>
          <w:rFonts w:ascii="Times New Roman" w:eastAsia="Times New Roman" w:hAnsi="Times New Roman" w:cs="Times New Roman"/>
          <w:sz w:val="24"/>
          <w:szCs w:val="24"/>
          <w:lang w:eastAsia="de-DE"/>
        </w:rPr>
        <w:t xml:space="preserve"> Beurteilungsgebiet wurde ein 10</w:t>
      </w:r>
      <w:r w:rsidRPr="00DC2306">
        <w:rPr>
          <w:rFonts w:ascii="Times New Roman" w:eastAsia="Times New Roman" w:hAnsi="Times New Roman" w:cs="Times New Roman"/>
          <w:sz w:val="24"/>
          <w:szCs w:val="24"/>
          <w:lang w:eastAsia="de-DE"/>
        </w:rPr>
        <w:t>00 m-Radius festgelegt, 50-fache Kaminhöhe, Ziffer 4.6.2.5 TA Luft.</w:t>
      </w:r>
    </w:p>
    <w:p w:rsidR="00DC2306" w:rsidRPr="00DC2306" w:rsidRDefault="00DC2306" w:rsidP="00DC2306">
      <w:pPr>
        <w:tabs>
          <w:tab w:val="center" w:pos="4536"/>
          <w:tab w:val="right" w:pos="9072"/>
        </w:tabs>
        <w:rPr>
          <w:rFonts w:ascii="Times New Roman" w:eastAsia="Times New Roman" w:hAnsi="Times New Roman" w:cs="Times New Roman"/>
          <w:sz w:val="24"/>
          <w:szCs w:val="24"/>
          <w:lang w:eastAsia="de-DE"/>
        </w:rPr>
      </w:pPr>
    </w:p>
    <w:p w:rsidR="00FA2993" w:rsidRPr="00FA2993" w:rsidRDefault="00FA2993" w:rsidP="00FA2993">
      <w:pPr>
        <w:rPr>
          <w:rFonts w:ascii="Times New Roman" w:hAnsi="Times New Roman" w:cs="Times New Roman"/>
          <w:sz w:val="24"/>
          <w:szCs w:val="24"/>
        </w:rPr>
      </w:pPr>
      <w:r w:rsidRPr="00FA2993">
        <w:rPr>
          <w:rFonts w:ascii="Times New Roman" w:hAnsi="Times New Roman" w:cs="Times New Roman"/>
          <w:sz w:val="24"/>
          <w:szCs w:val="24"/>
        </w:rPr>
        <w:t>Für den Bereich Karosserie – Rohbau, Gebäude 34.0 und 34.1/2, wurde der BMW AG mit Bescheid vom 04.06.2020 die immissionsschutzrechtliche Genehmigung nach § 16 BImSchG erteilt.</w:t>
      </w:r>
    </w:p>
    <w:p w:rsidR="00FA2993" w:rsidRPr="00FA2993" w:rsidRDefault="00FA2993" w:rsidP="00FA2993">
      <w:pPr>
        <w:rPr>
          <w:rFonts w:ascii="Times New Roman" w:hAnsi="Times New Roman" w:cs="Times New Roman"/>
          <w:sz w:val="24"/>
          <w:szCs w:val="24"/>
        </w:rPr>
      </w:pPr>
      <w:r w:rsidRPr="00FA2993">
        <w:rPr>
          <w:rFonts w:ascii="Times New Roman" w:hAnsi="Times New Roman" w:cs="Times New Roman"/>
          <w:sz w:val="24"/>
          <w:szCs w:val="24"/>
        </w:rPr>
        <w:t xml:space="preserve">Die BMW AG beantragte mit Schreiben vom 17.06.2020 unter Vorlage entsprechender Planunterlagen die Erteilung der immissionsschutzrechtlichen Genehmigung für die wesentliche Änderung der Anlage zum Bau und zur Montage von Kraftfahrzeugen durch den nächsten Bauabschnitt - Erweiterung des Bereiches „Karosserie-Rohbau“, Gebäude 34.1 im Werk 2.4. Es handelt sich um einen Lückenschluss. Um die Nachfolge in der Fertigung für den Karosserierohbau zu gewährleisten, werden neue Karosseriebauten für die Nachfolger der derzeitigen Modellreihen, die im Werk Dingolfing gefertigt werden, notwendig. </w:t>
      </w:r>
    </w:p>
    <w:p w:rsidR="00FA2993" w:rsidRDefault="00FA2993" w:rsidP="00FA2993">
      <w:pPr>
        <w:rPr>
          <w:rFonts w:ascii="Times New Roman" w:hAnsi="Times New Roman" w:cs="Times New Roman"/>
          <w:sz w:val="24"/>
          <w:szCs w:val="24"/>
        </w:rPr>
      </w:pPr>
      <w:r w:rsidRPr="00FA2993">
        <w:rPr>
          <w:rFonts w:ascii="Times New Roman" w:hAnsi="Times New Roman" w:cs="Times New Roman"/>
          <w:sz w:val="24"/>
          <w:szCs w:val="24"/>
        </w:rPr>
        <w:t>Deshalb soll in westlicher Richtung des bestehenden Gebäudes 34.1 in einem weiteren Bauabschnitt der Karosserierohbau vergrößert werden (Lückenschluss).</w:t>
      </w:r>
    </w:p>
    <w:p w:rsidR="00FA2993" w:rsidRPr="00FA2993" w:rsidRDefault="00FA2993" w:rsidP="00FA2993">
      <w:pPr>
        <w:rPr>
          <w:rFonts w:ascii="Times New Roman" w:hAnsi="Times New Roman" w:cs="Times New Roman"/>
          <w:sz w:val="24"/>
          <w:szCs w:val="24"/>
        </w:rPr>
      </w:pPr>
    </w:p>
    <w:p w:rsidR="00A65CA5"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 xml:space="preserve">Die Änderungen erfolgen zentral im bestehenden Automobilwerk. </w:t>
      </w:r>
    </w:p>
    <w:p w:rsidR="00EE6353" w:rsidRDefault="00A65CA5" w:rsidP="00DC2306">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Geringe Auswirkungen ergeben sich auf die Schutzgüter „Fläche“ und „Boden“. Für die Maßnahmen ist</w:t>
      </w:r>
      <w:r w:rsidR="00DC2306" w:rsidRPr="00DC2306">
        <w:rPr>
          <w:rFonts w:ascii="Times New Roman" w:eastAsia="Times New Roman" w:hAnsi="Times New Roman" w:cs="Times New Roman"/>
          <w:sz w:val="24"/>
          <w:szCs w:val="20"/>
          <w:lang w:eastAsia="de-DE"/>
        </w:rPr>
        <w:t xml:space="preserve"> ein zus</w:t>
      </w:r>
      <w:r w:rsidR="00EE6353">
        <w:rPr>
          <w:rFonts w:ascii="Times New Roman" w:eastAsia="Times New Roman" w:hAnsi="Times New Roman" w:cs="Times New Roman"/>
          <w:sz w:val="24"/>
          <w:szCs w:val="20"/>
          <w:lang w:eastAsia="de-DE"/>
        </w:rPr>
        <w:t xml:space="preserve">ätzlicher Flächenbedarf </w:t>
      </w:r>
      <w:r>
        <w:rPr>
          <w:rFonts w:ascii="Times New Roman" w:eastAsia="Times New Roman" w:hAnsi="Times New Roman" w:cs="Times New Roman"/>
          <w:sz w:val="24"/>
          <w:szCs w:val="20"/>
          <w:lang w:eastAsia="de-DE"/>
        </w:rPr>
        <w:t xml:space="preserve">bzw. zusätzliche Versiegelung </w:t>
      </w:r>
      <w:r w:rsidR="00EE6353">
        <w:rPr>
          <w:rFonts w:ascii="Times New Roman" w:eastAsia="Times New Roman" w:hAnsi="Times New Roman" w:cs="Times New Roman"/>
          <w:sz w:val="24"/>
          <w:szCs w:val="20"/>
          <w:lang w:eastAsia="de-DE"/>
        </w:rPr>
        <w:t>(ca. 775</w:t>
      </w:r>
      <w:r w:rsidR="00DC2306" w:rsidRPr="00DC2306">
        <w:rPr>
          <w:rFonts w:ascii="Times New Roman" w:eastAsia="Times New Roman" w:hAnsi="Times New Roman" w:cs="Times New Roman"/>
          <w:sz w:val="24"/>
          <w:szCs w:val="20"/>
          <w:lang w:eastAsia="de-DE"/>
        </w:rPr>
        <w:t xml:space="preserve"> m²) erforderlich. Durch naturschutzfa</w:t>
      </w:r>
      <w:r w:rsidR="00EE6353">
        <w:rPr>
          <w:rFonts w:ascii="Times New Roman" w:eastAsia="Times New Roman" w:hAnsi="Times New Roman" w:cs="Times New Roman"/>
          <w:sz w:val="24"/>
          <w:szCs w:val="20"/>
          <w:lang w:eastAsia="de-DE"/>
        </w:rPr>
        <w:t xml:space="preserve">chliche Ausgleichsmaßnahmen soll </w:t>
      </w:r>
      <w:r w:rsidR="00DC2306" w:rsidRPr="00DC2306">
        <w:rPr>
          <w:rFonts w:ascii="Times New Roman" w:eastAsia="Times New Roman" w:hAnsi="Times New Roman" w:cs="Times New Roman"/>
          <w:sz w:val="24"/>
          <w:szCs w:val="20"/>
          <w:lang w:eastAsia="de-DE"/>
        </w:rPr>
        <w:t>dieser Eingriff ausgeglichen</w:t>
      </w:r>
      <w:r w:rsidR="00EE6353">
        <w:rPr>
          <w:rFonts w:ascii="Times New Roman" w:eastAsia="Times New Roman" w:hAnsi="Times New Roman" w:cs="Times New Roman"/>
          <w:sz w:val="24"/>
          <w:szCs w:val="20"/>
          <w:lang w:eastAsia="de-DE"/>
        </w:rPr>
        <w:t xml:space="preserve"> werden (Zukauf einer Ausgleichsfläche)</w:t>
      </w:r>
      <w:r w:rsidR="00DC2306" w:rsidRPr="00DC2306">
        <w:rPr>
          <w:rFonts w:ascii="Times New Roman" w:eastAsia="Times New Roman" w:hAnsi="Times New Roman" w:cs="Times New Roman"/>
          <w:sz w:val="24"/>
          <w:szCs w:val="20"/>
          <w:lang w:eastAsia="de-DE"/>
        </w:rPr>
        <w:t xml:space="preserve">. </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Aus immissionsschutzfachlicher Sicht ist davon auszugehen, dass das Vorhaben unter Beachtung der geltenden gesetzlichen Regelwerke keine erheblichen nachteiligen Umweltauswirkungen hervorruft. Die Schallemissionen der neuen Anlagen tragen zu keiner Erhöhung oder Überschreitung der zulässigen Richtwerte in der Nachbarschaft bei.</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lastRenderedPageBreak/>
        <w:t>Es entsteht kein zusätzlicher Verkehr im Zusammenhang mit der Maßnahme im Vergleich zur früheren Nutzung des Geländes.</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Aufgrund der Vorbelastung durch das bestehende Industriegelände hat die Änderung der Anlage keine negativen Auswirkungen auf die Schutzgüter „Mensch, Wohnumfeld, Verkehr und Lärm“.</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Auf der Fläche d</w:t>
      </w:r>
      <w:r w:rsidR="00740F9E">
        <w:rPr>
          <w:rFonts w:ascii="Times New Roman" w:eastAsia="Times New Roman" w:hAnsi="Times New Roman" w:cs="Times New Roman"/>
          <w:sz w:val="24"/>
          <w:szCs w:val="20"/>
          <w:lang w:eastAsia="de-DE"/>
        </w:rPr>
        <w:t>es bestehenden Industriegebietes</w:t>
      </w:r>
      <w:r w:rsidRPr="00DC2306">
        <w:rPr>
          <w:rFonts w:ascii="Times New Roman" w:eastAsia="Times New Roman" w:hAnsi="Times New Roman" w:cs="Times New Roman"/>
          <w:sz w:val="24"/>
          <w:szCs w:val="20"/>
          <w:lang w:eastAsia="de-DE"/>
        </w:rPr>
        <w:t xml:space="preserve"> sind auch keine schützenwerte Tier – oder Pflanzenarten vorhanden. Auf das Klima bzw. die Luft sind keine Auswirkungen zu erwarten. Das vorhandene Industriegelände wird im Erscheinungsbild bzw. hinsichtlich der Wirkung auf das Landschaftsbild durch die Errichtung der neuen Anlagen nicht wesentlich verändert. </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 xml:space="preserve">Geringe Auswirkungen ergeben sich auf das Schutzgut Wasser: </w:t>
      </w:r>
      <w:r w:rsidR="00A65CA5">
        <w:rPr>
          <w:rFonts w:ascii="Times New Roman" w:eastAsia="Times New Roman" w:hAnsi="Times New Roman" w:cs="Times New Roman"/>
          <w:sz w:val="24"/>
          <w:szCs w:val="20"/>
          <w:lang w:eastAsia="de-DE"/>
        </w:rPr>
        <w:t xml:space="preserve">Für das Gebäude werden Gründungsfundamente im Grundwasser gebaut. </w:t>
      </w:r>
      <w:r w:rsidRPr="00DC2306">
        <w:rPr>
          <w:rFonts w:ascii="Times New Roman" w:eastAsia="Times New Roman" w:hAnsi="Times New Roman" w:cs="Times New Roman"/>
          <w:sz w:val="24"/>
          <w:szCs w:val="20"/>
          <w:lang w:eastAsia="de-DE"/>
        </w:rPr>
        <w:t>Dadurch entsteht ein Eingriff in das Grundwasser bzw. eine geringe nachteilige Auswirkung auf das Grundwasser. Durch entspr</w:t>
      </w:r>
      <w:r w:rsidR="00A65CA5">
        <w:rPr>
          <w:rFonts w:ascii="Times New Roman" w:eastAsia="Times New Roman" w:hAnsi="Times New Roman" w:cs="Times New Roman"/>
          <w:sz w:val="24"/>
          <w:szCs w:val="20"/>
          <w:lang w:eastAsia="de-DE"/>
        </w:rPr>
        <w:t>echende Nebenbestimmungen im</w:t>
      </w:r>
      <w:r w:rsidRPr="00DC2306">
        <w:rPr>
          <w:rFonts w:ascii="Times New Roman" w:eastAsia="Times New Roman" w:hAnsi="Times New Roman" w:cs="Times New Roman"/>
          <w:sz w:val="24"/>
          <w:szCs w:val="20"/>
          <w:lang w:eastAsia="de-DE"/>
        </w:rPr>
        <w:t xml:space="preserve"> konkreten wasserrecht</w:t>
      </w:r>
      <w:r w:rsidR="00A65CA5">
        <w:rPr>
          <w:rFonts w:ascii="Times New Roman" w:eastAsia="Times New Roman" w:hAnsi="Times New Roman" w:cs="Times New Roman"/>
          <w:sz w:val="24"/>
          <w:szCs w:val="20"/>
          <w:lang w:eastAsia="de-DE"/>
        </w:rPr>
        <w:t>lichen Erlaubnisverfahren wird diese Auswirkung</w:t>
      </w:r>
      <w:r w:rsidRPr="00DC2306">
        <w:rPr>
          <w:rFonts w:ascii="Times New Roman" w:eastAsia="Times New Roman" w:hAnsi="Times New Roman" w:cs="Times New Roman"/>
          <w:sz w:val="24"/>
          <w:szCs w:val="20"/>
          <w:lang w:eastAsia="de-DE"/>
        </w:rPr>
        <w:t xml:space="preserve"> minimiert.</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 xml:space="preserve">Eine umfassende Umweltverträglichkeitsprüfung ist für das Änderungsvorhaben somit nicht erforderlich. </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Die Entscheidung wird im UVP-Portal öffentlich bekanntgemacht (§ 5 Abs. 3 UVPG).</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Landratsamt Dingolfing-Landau - SG 42</w:t>
      </w:r>
    </w:p>
    <w:p w:rsidR="00DC2306" w:rsidRPr="00DC2306" w:rsidRDefault="00773646" w:rsidP="00DC2306">
      <w:pPr>
        <w:tabs>
          <w:tab w:val="left" w:pos="426"/>
          <w:tab w:val="left" w:pos="851"/>
        </w:tabs>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23.</w:t>
      </w:r>
      <w:bookmarkStart w:id="0" w:name="_GoBack"/>
      <w:bookmarkEnd w:id="0"/>
      <w:r w:rsidR="00A65CA5">
        <w:rPr>
          <w:rFonts w:ascii="Times New Roman" w:eastAsia="Times New Roman" w:hAnsi="Times New Roman" w:cs="Times New Roman"/>
          <w:sz w:val="24"/>
          <w:szCs w:val="20"/>
          <w:lang w:eastAsia="de-DE"/>
        </w:rPr>
        <w:t>07</w:t>
      </w:r>
      <w:r w:rsidR="00DC2306" w:rsidRPr="00DC2306">
        <w:rPr>
          <w:rFonts w:ascii="Times New Roman" w:eastAsia="Times New Roman" w:hAnsi="Times New Roman" w:cs="Times New Roman"/>
          <w:sz w:val="24"/>
          <w:szCs w:val="20"/>
          <w:lang w:eastAsia="de-DE"/>
        </w:rPr>
        <w:t>.2020</w:t>
      </w: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p>
    <w:p w:rsidR="00DC2306" w:rsidRPr="00DC2306" w:rsidRDefault="00DC2306" w:rsidP="00DC2306">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Kerstin Kameter-Schenkl</w:t>
      </w:r>
    </w:p>
    <w:p w:rsidR="00DC2306" w:rsidRPr="00DC2306" w:rsidRDefault="00DC2306" w:rsidP="00DC2306"/>
    <w:p w:rsidR="00DC2306" w:rsidRPr="00DC2306" w:rsidRDefault="00DC2306" w:rsidP="00DC2306"/>
    <w:p w:rsidR="00DC2306" w:rsidRPr="00DC2306" w:rsidRDefault="00DC2306" w:rsidP="00DC2306"/>
    <w:p w:rsidR="00DC2306" w:rsidRPr="00DC2306" w:rsidRDefault="00DC2306" w:rsidP="00DC2306"/>
    <w:p w:rsidR="00DC2306" w:rsidRPr="00DC2306" w:rsidRDefault="00DC2306" w:rsidP="00DC2306"/>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06"/>
    <w:rsid w:val="00740F9E"/>
    <w:rsid w:val="00773646"/>
    <w:rsid w:val="00A65CA5"/>
    <w:rsid w:val="00A97B62"/>
    <w:rsid w:val="00B42E52"/>
    <w:rsid w:val="00BC5635"/>
    <w:rsid w:val="00DC2306"/>
    <w:rsid w:val="00EE6353"/>
    <w:rsid w:val="00FA2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9FCA"/>
  <w15:chartTrackingRefBased/>
  <w15:docId w15:val="{CA0454B2-264B-4095-B7D5-0043F7E8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364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1B46F053.dotm</Template>
  <TotalTime>0</TotalTime>
  <Pages>2</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2020-07-23T07:31:00Z</cp:lastPrinted>
  <dcterms:created xsi:type="dcterms:W3CDTF">2020-07-10T07:37:00Z</dcterms:created>
  <dcterms:modified xsi:type="dcterms:W3CDTF">2020-07-23T07:33:00Z</dcterms:modified>
</cp:coreProperties>
</file>