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2093"/>
        <w:gridCol w:w="4236"/>
        <w:gridCol w:w="3165"/>
      </w:tblGrid>
      <w:tr w:rsidR="008C78F8" w:rsidTr="008768DA">
        <w:tc>
          <w:tcPr>
            <w:tcW w:w="2093" w:type="dxa"/>
            <w:tcBorders>
              <w:top w:val="single" w:sz="4" w:space="0" w:color="auto"/>
              <w:left w:val="single" w:sz="4" w:space="0" w:color="auto"/>
            </w:tcBorders>
            <w:shd w:val="clear" w:color="auto" w:fill="auto"/>
          </w:tcPr>
          <w:p w:rsidR="008C78F8" w:rsidRDefault="005063C0" w:rsidP="00812858">
            <w:r w:rsidRPr="005063C0">
              <w:rPr>
                <w:b/>
                <w:sz w:val="24"/>
                <w:szCs w:val="24"/>
              </w:rPr>
              <w:t>Nr. 27 – 170/7</w:t>
            </w:r>
          </w:p>
        </w:tc>
        <w:tc>
          <w:tcPr>
            <w:tcW w:w="4236" w:type="dxa"/>
            <w:shd w:val="clear" w:color="auto" w:fill="auto"/>
          </w:tcPr>
          <w:p w:rsidR="008C78F8" w:rsidRDefault="008C78F8" w:rsidP="008C78F8"/>
        </w:tc>
        <w:tc>
          <w:tcPr>
            <w:tcW w:w="3165" w:type="dxa"/>
            <w:shd w:val="clear" w:color="auto" w:fill="auto"/>
          </w:tcPr>
          <w:p w:rsidR="008C78F8" w:rsidRDefault="008C78F8" w:rsidP="008C78F8"/>
        </w:tc>
      </w:tr>
    </w:tbl>
    <w:p w:rsidR="006028B4" w:rsidRPr="00E75207" w:rsidRDefault="006028B4">
      <w:pPr>
        <w:rPr>
          <w:b/>
          <w:sz w:val="16"/>
          <w:szCs w:val="16"/>
        </w:rPr>
      </w:pPr>
    </w:p>
    <w:p w:rsidR="006028B4" w:rsidRDefault="006028B4">
      <w:pPr>
        <w:jc w:val="center"/>
      </w:pPr>
      <w:r>
        <w:rPr>
          <w:b/>
          <w:sz w:val="36"/>
          <w:u w:val="single"/>
        </w:rPr>
        <w:t>Bekanntmachung</w:t>
      </w:r>
    </w:p>
    <w:p w:rsidR="00E75207" w:rsidRPr="00E75207" w:rsidRDefault="00E75207">
      <w:pPr>
        <w:rPr>
          <w:sz w:val="16"/>
          <w:szCs w:val="16"/>
        </w:rPr>
      </w:pPr>
    </w:p>
    <w:p w:rsidR="005063C0" w:rsidRPr="005063C0" w:rsidRDefault="005063C0" w:rsidP="005063C0">
      <w:pPr>
        <w:rPr>
          <w:b/>
          <w:sz w:val="24"/>
          <w:szCs w:val="24"/>
        </w:rPr>
      </w:pPr>
      <w:r w:rsidRPr="005063C0">
        <w:rPr>
          <w:b/>
          <w:sz w:val="24"/>
          <w:szCs w:val="24"/>
        </w:rPr>
        <w:t>Vollzug des BImSchG;</w:t>
      </w:r>
    </w:p>
    <w:p w:rsidR="005063C0" w:rsidRPr="005063C0" w:rsidRDefault="005063C0" w:rsidP="005063C0">
      <w:pPr>
        <w:rPr>
          <w:b/>
          <w:sz w:val="24"/>
          <w:szCs w:val="24"/>
        </w:rPr>
      </w:pPr>
      <w:r w:rsidRPr="005063C0">
        <w:rPr>
          <w:b/>
          <w:sz w:val="24"/>
          <w:szCs w:val="24"/>
        </w:rPr>
        <w:t>Wesentliche Änderung einer Anlage zur Herstellung von Glas durch die Firma Gerresheimer Tettau GmbH, 96355 Tettau;</w:t>
      </w:r>
    </w:p>
    <w:p w:rsidR="00812858" w:rsidRDefault="005063C0" w:rsidP="005063C0">
      <w:pPr>
        <w:rPr>
          <w:b/>
          <w:sz w:val="24"/>
          <w:szCs w:val="24"/>
        </w:rPr>
      </w:pPr>
      <w:r w:rsidRPr="005063C0">
        <w:rPr>
          <w:b/>
          <w:sz w:val="24"/>
          <w:szCs w:val="24"/>
        </w:rPr>
        <w:t>Allgemeine Vorprüfung zur Feststellung der UVP-Pflicht nach § 9 Abs. 2 Satz 1 Nr. 2 und Abs. 4, § 7 Abs. 1 UVPG i. V. m. Nr. 2.5.2 der Anlage 1 zum UVPG</w:t>
      </w:r>
    </w:p>
    <w:p w:rsidR="00E75207" w:rsidRPr="00E75207" w:rsidRDefault="00E75207" w:rsidP="00812858">
      <w:pPr>
        <w:rPr>
          <w:b/>
          <w:sz w:val="16"/>
          <w:szCs w:val="16"/>
        </w:rPr>
      </w:pPr>
    </w:p>
    <w:p w:rsidR="006028B4" w:rsidRPr="007B6A19" w:rsidRDefault="006028B4" w:rsidP="00812858">
      <w:pPr>
        <w:rPr>
          <w:b/>
          <w:sz w:val="32"/>
          <w:szCs w:val="32"/>
        </w:rPr>
      </w:pPr>
      <w:r w:rsidRPr="007B6A19">
        <w:rPr>
          <w:b/>
          <w:sz w:val="32"/>
          <w:szCs w:val="32"/>
        </w:rPr>
        <w:t>Unterbleiben einer Umweltverträglichkeitsprüfung</w:t>
      </w:r>
    </w:p>
    <w:p w:rsidR="00E75207" w:rsidRPr="00E75207" w:rsidRDefault="00E75207">
      <w:pPr>
        <w:tabs>
          <w:tab w:val="left" w:pos="3402"/>
        </w:tabs>
        <w:rPr>
          <w:sz w:val="16"/>
          <w:szCs w:val="16"/>
        </w:rPr>
      </w:pPr>
    </w:p>
    <w:p w:rsidR="005063C0" w:rsidRPr="005063C0" w:rsidRDefault="005063C0" w:rsidP="005063C0">
      <w:r w:rsidRPr="005063C0">
        <w:t>Die Firma Gerresheimer Tettau GmbH betreibt eine Anlage zur Herstellung von Glas mit einer max. Schmelzleistung von 280 t/d, die gemäß § 4 Abs. 1 BImSchG in Verbindung mit Nr. 2.8.1 des Anhangs 1 der 4. BImSchV der immissionsschutzrechtlichen Genehmigungspflicht unte</w:t>
      </w:r>
      <w:r w:rsidRPr="005063C0">
        <w:t>r</w:t>
      </w:r>
      <w:r w:rsidRPr="005063C0">
        <w:t>liegt. An der bestehenden Anlage sollen folgende Änderungen vorgenommen werden:</w:t>
      </w:r>
    </w:p>
    <w:p w:rsidR="005063C0" w:rsidRPr="00E75207" w:rsidRDefault="005063C0" w:rsidP="005063C0">
      <w:pPr>
        <w:rPr>
          <w:sz w:val="16"/>
          <w:szCs w:val="16"/>
        </w:rPr>
      </w:pPr>
    </w:p>
    <w:p w:rsidR="005063C0" w:rsidRPr="005063C0" w:rsidRDefault="005063C0" w:rsidP="005063C0">
      <w:pPr>
        <w:numPr>
          <w:ilvl w:val="0"/>
          <w:numId w:val="16"/>
        </w:numPr>
      </w:pPr>
      <w:r w:rsidRPr="005063C0">
        <w:t>Leistungserhöhung der Glasschmelzwanne 1 von 180 t/d auf 200 t/d, bei gleichzeitiger Erhöhung der Gesamtschmelzleistung von 280 t/d auf 300 t/d, durch den Einsatz von Fremdscherben</w:t>
      </w:r>
    </w:p>
    <w:p w:rsidR="005063C0" w:rsidRPr="005063C0" w:rsidRDefault="005063C0" w:rsidP="005063C0">
      <w:pPr>
        <w:numPr>
          <w:ilvl w:val="0"/>
          <w:numId w:val="16"/>
        </w:numPr>
      </w:pPr>
      <w:r w:rsidRPr="005063C0">
        <w:t>Einsatz von Fremdscherben (bis zu 40 % des Gemenges) an Wanne 1</w:t>
      </w:r>
    </w:p>
    <w:p w:rsidR="00DE2962" w:rsidRPr="00E75207" w:rsidRDefault="00E75207" w:rsidP="005063C0">
      <w:pPr>
        <w:rPr>
          <w:sz w:val="16"/>
          <w:szCs w:val="16"/>
        </w:rPr>
      </w:pPr>
    </w:p>
    <w:p w:rsidR="00C9506F" w:rsidRDefault="005063C0">
      <w:r w:rsidRPr="005063C0">
        <w:t>Die Maßnahmen stellen eine wesentliche Änderung der vorhandenen Anlage dar und bedürfen daher gemäß § 16 Abs. 1 BImSchG der immissionsschutzrechtlichen Genehmigung. Gemäß § 9 Abs. 2 Satz 1 Nr. 2 und Abs. 4, § 7 Abs. 1 UVPG i. V. m. Nr. 2.5.2 der Anlage 1 zum UVPG ist im Rahmen des Verfahrens eine allgemeine Vorprüfung zur Feststellung der UVP-Pflicht durc</w:t>
      </w:r>
      <w:r w:rsidRPr="005063C0">
        <w:t>h</w:t>
      </w:r>
      <w:r w:rsidRPr="005063C0">
        <w:t>zuführen.</w:t>
      </w:r>
    </w:p>
    <w:p w:rsidR="00E75207" w:rsidRPr="00E75207" w:rsidRDefault="00E75207">
      <w:pPr>
        <w:rPr>
          <w:sz w:val="16"/>
          <w:szCs w:val="16"/>
        </w:rPr>
      </w:pPr>
    </w:p>
    <w:p w:rsidR="00E803CA" w:rsidRPr="00E803CA" w:rsidRDefault="00CE14E5" w:rsidP="00E803CA">
      <w:r>
        <w:t>Die allgemeine Vorprüfung hat ergeben, dass das genannte Vorhaben keiner Umweltverträ</w:t>
      </w:r>
      <w:r>
        <w:t>g</w:t>
      </w:r>
      <w:r>
        <w:t>lichkeitsprüfung bedarf, da erhebliche nachteilige Auswirkungen auf die Umwelt und die zu schützenden Güter nicht zu besorgen sind.</w:t>
      </w:r>
      <w:r w:rsidR="00E803CA">
        <w:t xml:space="preserve"> </w:t>
      </w:r>
      <w:r w:rsidR="00E803CA" w:rsidRPr="00E803CA">
        <w:t>Diese Feststellung wird hiermit gemäß § 5 Abs. 2 Satz 1 UVPG öffentlich bekannt gegeben. Es wird darauf hingewiesen, dass die Feststellung nicht selbständig anfechtbar ist.</w:t>
      </w:r>
    </w:p>
    <w:p w:rsidR="00E75207" w:rsidRPr="00E75207" w:rsidRDefault="00E75207">
      <w:pPr>
        <w:tabs>
          <w:tab w:val="left" w:pos="3402"/>
        </w:tabs>
        <w:rPr>
          <w:sz w:val="16"/>
          <w:szCs w:val="16"/>
        </w:rPr>
      </w:pPr>
    </w:p>
    <w:p w:rsidR="005063C0" w:rsidRDefault="005063C0">
      <w:pPr>
        <w:tabs>
          <w:tab w:val="left" w:pos="3402"/>
        </w:tabs>
      </w:pPr>
      <w:r>
        <w:t>Die Änderung der Anlage besteht aus dem Einsatz von Fremdscherben bei der Glasherstellung. Die Erhöhung der Schmelzleistung resultiert aus dem geringeren Energieeinsatz, der beim Schmelzen von Scherben gegenüber Gemenge erforderlich ist. An der Anlagentechnik der Schmelzwanne werden keine Änderungen vorgenommen.</w:t>
      </w:r>
    </w:p>
    <w:p w:rsidR="00E75207" w:rsidRPr="00E75207" w:rsidRDefault="00E75207">
      <w:pPr>
        <w:tabs>
          <w:tab w:val="left" w:pos="3402"/>
        </w:tabs>
        <w:rPr>
          <w:sz w:val="16"/>
          <w:szCs w:val="16"/>
        </w:rPr>
      </w:pPr>
    </w:p>
    <w:p w:rsidR="005063C0" w:rsidRDefault="005063C0">
      <w:pPr>
        <w:tabs>
          <w:tab w:val="left" w:pos="3402"/>
        </w:tabs>
      </w:pPr>
      <w:r>
        <w:t>In Bezug auf den Lärmschutz kommt es durch die geplante Änderung zu zusätzlichem Fahrve</w:t>
      </w:r>
      <w:r>
        <w:t>r</w:t>
      </w:r>
      <w:r>
        <w:t xml:space="preserve">kehr. Die dadurch verursachten Lärmimmissionen liegen jedoch mindestens 10 dB(A) </w:t>
      </w:r>
      <w:r w:rsidR="003A4DF1">
        <w:t>unter den für die Gesamtanlage zulässigen Immissionsrichtwerten, als auch unter deren Beurteilungsp</w:t>
      </w:r>
      <w:r w:rsidR="003A4DF1">
        <w:t>e</w:t>
      </w:r>
      <w:r w:rsidR="003A4DF1">
        <w:t>geln. Hinsichtlich der Luftreinhaltung ergibt sich für die schon bislang betrachteten Schadstoffe eine Verminderung der Emissionsmassenströme durch die Änderung. Für die neu zu betrac</w:t>
      </w:r>
      <w:r w:rsidR="003A4DF1">
        <w:t>h</w:t>
      </w:r>
      <w:r w:rsidR="003A4DF1">
        <w:t>tenden Schadstoffe (Arsen, Blei, Cadmium, Dioxine und Furane) ergeben sich Emissionsma</w:t>
      </w:r>
      <w:r w:rsidR="003A4DF1">
        <w:t>s</w:t>
      </w:r>
      <w:r w:rsidR="00B12861">
        <w:t>senströme</w:t>
      </w:r>
      <w:r w:rsidR="003A4DF1">
        <w:t>, die auch bezogen auf die Gesamtanlage unterhalb der in der TA-Luft genannten Bagatellmassenströmen liegen</w:t>
      </w:r>
      <w:r w:rsidR="00B12861">
        <w:t>.</w:t>
      </w:r>
    </w:p>
    <w:p w:rsidR="00D46F79" w:rsidRPr="00E75207" w:rsidRDefault="00D46F79" w:rsidP="00B12861">
      <w:pPr>
        <w:rPr>
          <w:sz w:val="16"/>
          <w:szCs w:val="16"/>
        </w:rPr>
      </w:pPr>
    </w:p>
    <w:p w:rsidR="006028B4" w:rsidRDefault="006028B4">
      <w:r>
        <w:t>Kronach</w:t>
      </w:r>
      <w:r w:rsidRPr="00B55EF3">
        <w:t xml:space="preserve">, </w:t>
      </w:r>
      <w:r w:rsidR="00E75207">
        <w:t>28.08.2020</w:t>
      </w:r>
      <w:bookmarkStart w:id="0" w:name="_GoBack"/>
      <w:bookmarkEnd w:id="0"/>
    </w:p>
    <w:p w:rsidR="006028B4" w:rsidRDefault="00533D89">
      <w:r>
        <w:t>Landratsamt</w:t>
      </w:r>
    </w:p>
    <w:p w:rsidR="00533D89" w:rsidRDefault="00533D89"/>
    <w:p w:rsidR="004D271C" w:rsidRDefault="004D271C"/>
    <w:p w:rsidR="00E83497" w:rsidRDefault="00E83497"/>
    <w:p w:rsidR="00E75207" w:rsidRDefault="00E75207"/>
    <w:tbl>
      <w:tblPr>
        <w:tblW w:w="0" w:type="auto"/>
        <w:tblLook w:val="01E0" w:firstRow="1" w:lastRow="1" w:firstColumn="1" w:lastColumn="1" w:noHBand="0" w:noVBand="0"/>
      </w:tblPr>
      <w:tblGrid>
        <w:gridCol w:w="3164"/>
        <w:gridCol w:w="4457"/>
        <w:gridCol w:w="1873"/>
      </w:tblGrid>
      <w:tr w:rsidR="00387C3A" w:rsidTr="0098255D">
        <w:tc>
          <w:tcPr>
            <w:tcW w:w="3164" w:type="dxa"/>
            <w:shd w:val="clear" w:color="auto" w:fill="auto"/>
          </w:tcPr>
          <w:p w:rsidR="00E75207" w:rsidRDefault="00FC5383" w:rsidP="00B0204C">
            <w:r>
              <w:t>Löffler</w:t>
            </w:r>
          </w:p>
          <w:p w:rsidR="00FC5383" w:rsidRDefault="00FC5383" w:rsidP="00B0204C">
            <w:r>
              <w:t>Landrat</w:t>
            </w:r>
          </w:p>
        </w:tc>
        <w:tc>
          <w:tcPr>
            <w:tcW w:w="4457" w:type="dxa"/>
            <w:shd w:val="clear" w:color="auto" w:fill="auto"/>
          </w:tcPr>
          <w:p w:rsidR="00387C3A" w:rsidRDefault="00387C3A"/>
        </w:tc>
        <w:tc>
          <w:tcPr>
            <w:tcW w:w="1873" w:type="dxa"/>
            <w:tcBorders>
              <w:bottom w:val="single" w:sz="4" w:space="0" w:color="auto"/>
              <w:right w:val="single" w:sz="4" w:space="0" w:color="auto"/>
            </w:tcBorders>
            <w:shd w:val="clear" w:color="auto" w:fill="auto"/>
          </w:tcPr>
          <w:p w:rsidR="00387C3A" w:rsidRDefault="00387C3A"/>
        </w:tc>
      </w:tr>
    </w:tbl>
    <w:p w:rsidR="00DE6013" w:rsidRDefault="00DE6013" w:rsidP="00E83497"/>
    <w:sectPr w:rsidR="00DE6013">
      <w:pgSz w:w="11906" w:h="16838" w:code="9"/>
      <w:pgMar w:top="1418" w:right="1134"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02E4"/>
    <w:multiLevelType w:val="singleLevel"/>
    <w:tmpl w:val="1E18F120"/>
    <w:lvl w:ilvl="0">
      <w:start w:val="1"/>
      <w:numFmt w:val="bullet"/>
      <w:pStyle w:val="Einzug1-"/>
      <w:lvlText w:val="-"/>
      <w:lvlJc w:val="left"/>
      <w:pPr>
        <w:tabs>
          <w:tab w:val="num" w:pos="785"/>
        </w:tabs>
        <w:ind w:left="624" w:hanging="199"/>
      </w:pPr>
      <w:rPr>
        <w:rFonts w:ascii="Arial" w:hAnsi="Arial" w:hint="default"/>
        <w:sz w:val="24"/>
      </w:rPr>
    </w:lvl>
  </w:abstractNum>
  <w:abstractNum w:abstractNumId="1">
    <w:nsid w:val="0F277231"/>
    <w:multiLevelType w:val="singleLevel"/>
    <w:tmpl w:val="01ECF4B4"/>
    <w:lvl w:ilvl="0">
      <w:start w:val="1"/>
      <w:numFmt w:val="upperRoman"/>
      <w:lvlText w:val="%1."/>
      <w:lvlJc w:val="left"/>
      <w:pPr>
        <w:tabs>
          <w:tab w:val="num" w:pos="720"/>
        </w:tabs>
        <w:ind w:left="567" w:hanging="567"/>
      </w:pPr>
      <w:rPr>
        <w:rFonts w:ascii="Arial Black" w:hAnsi="Arial Black" w:hint="default"/>
        <w:b w:val="0"/>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2D640749"/>
    <w:multiLevelType w:val="singleLevel"/>
    <w:tmpl w:val="EFD8C334"/>
    <w:lvl w:ilvl="0">
      <w:start w:val="1"/>
      <w:numFmt w:val="bullet"/>
      <w:pStyle w:val="Einzug1a-"/>
      <w:lvlText w:val="-"/>
      <w:lvlJc w:val="left"/>
      <w:pPr>
        <w:tabs>
          <w:tab w:val="num" w:pos="1211"/>
        </w:tabs>
        <w:ind w:left="1077" w:hanging="226"/>
      </w:pPr>
      <w:rPr>
        <w:rFonts w:ascii="Arial" w:hAnsi="Arial" w:hint="default"/>
        <w:sz w:val="24"/>
      </w:rPr>
    </w:lvl>
  </w:abstractNum>
  <w:abstractNum w:abstractNumId="3">
    <w:nsid w:val="37E62D65"/>
    <w:multiLevelType w:val="multilevel"/>
    <w:tmpl w:val="20BEA2DE"/>
    <w:lvl w:ilvl="0">
      <w:start w:val="1"/>
      <w:numFmt w:val="decimal"/>
      <w:lvlText w:val="%1."/>
      <w:lvlJc w:val="left"/>
      <w:pPr>
        <w:tabs>
          <w:tab w:val="num" w:pos="794"/>
        </w:tabs>
        <w:ind w:left="794" w:hanging="794"/>
      </w:pPr>
      <w:rPr>
        <w:rFonts w:ascii="Arial" w:hAnsi="Arial" w:hint="default"/>
        <w:b/>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792"/>
      </w:pPr>
    </w:lvl>
    <w:lvl w:ilvl="2">
      <w:start w:val="1"/>
      <w:numFmt w:val="decimal"/>
      <w:lvlText w:val="%1.%2.%3."/>
      <w:lvlJc w:val="left"/>
      <w:pPr>
        <w:tabs>
          <w:tab w:val="num" w:pos="794"/>
        </w:tabs>
        <w:ind w:left="794" w:hanging="794"/>
      </w:pPr>
      <w:rPr>
        <w:rFonts w:ascii="Arial" w:hAnsi="Arial" w:hint="default"/>
        <w:b/>
        <w:i w:val="0"/>
        <w:sz w:val="24"/>
      </w:r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4">
    <w:nsid w:val="3FB834C2"/>
    <w:multiLevelType w:val="singleLevel"/>
    <w:tmpl w:val="DB780FF8"/>
    <w:lvl w:ilvl="0">
      <w:start w:val="1"/>
      <w:numFmt w:val="bullet"/>
      <w:pStyle w:val="Einzug-"/>
      <w:lvlText w:val="–"/>
      <w:lvlJc w:val="left"/>
      <w:pPr>
        <w:tabs>
          <w:tab w:val="num" w:pos="360"/>
        </w:tabs>
        <w:ind w:left="284" w:hanging="284"/>
      </w:pPr>
      <w:rPr>
        <w:rFonts w:ascii="Arial" w:hAnsi="Arial"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48105236"/>
    <w:multiLevelType w:val="multilevel"/>
    <w:tmpl w:val="AD343EDE"/>
    <w:lvl w:ilvl="0">
      <w:start w:val="1"/>
      <w:numFmt w:val="decimal"/>
      <w:lvlText w:val="%1."/>
      <w:lvlJc w:val="left"/>
      <w:pPr>
        <w:tabs>
          <w:tab w:val="num" w:pos="794"/>
        </w:tabs>
        <w:ind w:left="794" w:hanging="794"/>
      </w:pPr>
      <w:rPr>
        <w:rFonts w:ascii="Arial" w:hAnsi="Arial" w:hint="default"/>
        <w:b/>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6">
    <w:nsid w:val="49DD6680"/>
    <w:multiLevelType w:val="hybridMultilevel"/>
    <w:tmpl w:val="4A921352"/>
    <w:lvl w:ilvl="0" w:tplc="6A1C2CB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DE712E5"/>
    <w:multiLevelType w:val="multilevel"/>
    <w:tmpl w:val="147C1846"/>
    <w:lvl w:ilvl="0">
      <w:start w:val="1"/>
      <w:numFmt w:val="decimal"/>
      <w:pStyle w:val="berschrift1"/>
      <w:lvlText w:val="%1"/>
      <w:lvlJc w:val="left"/>
      <w:pPr>
        <w:tabs>
          <w:tab w:val="num" w:pos="794"/>
        </w:tabs>
        <w:ind w:left="794" w:hanging="794"/>
      </w:pPr>
      <w:rPr>
        <w:rFonts w:ascii="Arial" w:hAnsi="Arial" w:hint="default"/>
        <w:b/>
        <w:i w:val="0"/>
        <w:sz w:val="28"/>
      </w:rPr>
    </w:lvl>
    <w:lvl w:ilvl="1">
      <w:start w:val="1"/>
      <w:numFmt w:val="decimal"/>
      <w:pStyle w:val="berschrift2"/>
      <w:lvlText w:val="%1.%2"/>
      <w:lvlJc w:val="left"/>
      <w:pPr>
        <w:tabs>
          <w:tab w:val="num" w:pos="794"/>
        </w:tabs>
        <w:ind w:left="794" w:hanging="794"/>
      </w:pPr>
    </w:lvl>
    <w:lvl w:ilvl="2">
      <w:start w:val="1"/>
      <w:numFmt w:val="decimal"/>
      <w:pStyle w:val="berschrift3"/>
      <w:lvlText w:val="%1.%2.%3"/>
      <w:lvlJc w:val="left"/>
      <w:pPr>
        <w:tabs>
          <w:tab w:val="num" w:pos="794"/>
        </w:tabs>
        <w:ind w:left="794" w:hanging="794"/>
      </w:pPr>
      <w:rPr>
        <w:rFonts w:ascii="Arial" w:hAnsi="Arial" w:hint="default"/>
        <w:b/>
        <w:i w:val="0"/>
        <w:sz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5"/>
  </w:num>
  <w:num w:numId="3">
    <w:abstractNumId w:val="7"/>
  </w:num>
  <w:num w:numId="4">
    <w:abstractNumId w:val="3"/>
  </w:num>
  <w:num w:numId="5">
    <w:abstractNumId w:val="5"/>
  </w:num>
  <w:num w:numId="6">
    <w:abstractNumId w:val="7"/>
  </w:num>
  <w:num w:numId="7">
    <w:abstractNumId w:val="3"/>
  </w:num>
  <w:num w:numId="8">
    <w:abstractNumId w:val="4"/>
  </w:num>
  <w:num w:numId="9">
    <w:abstractNumId w:val="7"/>
  </w:num>
  <w:num w:numId="10">
    <w:abstractNumId w:val="7"/>
  </w:num>
  <w:num w:numId="11">
    <w:abstractNumId w:val="7"/>
  </w:num>
  <w:num w:numId="12">
    <w:abstractNumId w:val="7"/>
  </w:num>
  <w:num w:numId="13">
    <w:abstractNumId w:val="0"/>
  </w:num>
  <w:num w:numId="14">
    <w:abstractNumId w:val="2"/>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56B"/>
    <w:rsid w:val="0003556B"/>
    <w:rsid w:val="000648A7"/>
    <w:rsid w:val="00077ABC"/>
    <w:rsid w:val="000826CB"/>
    <w:rsid w:val="000C7BD5"/>
    <w:rsid w:val="000D6F78"/>
    <w:rsid w:val="000F7266"/>
    <w:rsid w:val="00140127"/>
    <w:rsid w:val="001A2DB0"/>
    <w:rsid w:val="001A371A"/>
    <w:rsid w:val="00220EF6"/>
    <w:rsid w:val="0026166A"/>
    <w:rsid w:val="00262C77"/>
    <w:rsid w:val="00273CAD"/>
    <w:rsid w:val="002A1318"/>
    <w:rsid w:val="002C7ED6"/>
    <w:rsid w:val="002E1A5C"/>
    <w:rsid w:val="002E48AE"/>
    <w:rsid w:val="002F20AD"/>
    <w:rsid w:val="003452C5"/>
    <w:rsid w:val="00345622"/>
    <w:rsid w:val="00347A07"/>
    <w:rsid w:val="00375F34"/>
    <w:rsid w:val="00387C3A"/>
    <w:rsid w:val="003A358C"/>
    <w:rsid w:val="003A4DF1"/>
    <w:rsid w:val="003B43C4"/>
    <w:rsid w:val="003C15A0"/>
    <w:rsid w:val="003E174D"/>
    <w:rsid w:val="004023BB"/>
    <w:rsid w:val="00407685"/>
    <w:rsid w:val="00437451"/>
    <w:rsid w:val="00491A82"/>
    <w:rsid w:val="004B1E5F"/>
    <w:rsid w:val="004B2704"/>
    <w:rsid w:val="004D271C"/>
    <w:rsid w:val="005063C0"/>
    <w:rsid w:val="00533D89"/>
    <w:rsid w:val="00570F32"/>
    <w:rsid w:val="006028B4"/>
    <w:rsid w:val="00634BE6"/>
    <w:rsid w:val="006747A7"/>
    <w:rsid w:val="006806F9"/>
    <w:rsid w:val="006A31E7"/>
    <w:rsid w:val="00724F67"/>
    <w:rsid w:val="007302B5"/>
    <w:rsid w:val="007319AB"/>
    <w:rsid w:val="00777F9D"/>
    <w:rsid w:val="00782E8A"/>
    <w:rsid w:val="00782EED"/>
    <w:rsid w:val="007B6A19"/>
    <w:rsid w:val="00802840"/>
    <w:rsid w:val="00812858"/>
    <w:rsid w:val="00816B3D"/>
    <w:rsid w:val="008450FA"/>
    <w:rsid w:val="008768DA"/>
    <w:rsid w:val="00892E3E"/>
    <w:rsid w:val="008B3D5B"/>
    <w:rsid w:val="008B44D4"/>
    <w:rsid w:val="008C78F8"/>
    <w:rsid w:val="009150A0"/>
    <w:rsid w:val="009177CA"/>
    <w:rsid w:val="009523D7"/>
    <w:rsid w:val="00952642"/>
    <w:rsid w:val="00981AFE"/>
    <w:rsid w:val="0098255D"/>
    <w:rsid w:val="009B3181"/>
    <w:rsid w:val="009E71CE"/>
    <w:rsid w:val="009E7559"/>
    <w:rsid w:val="00A16149"/>
    <w:rsid w:val="00A665C8"/>
    <w:rsid w:val="00A727A5"/>
    <w:rsid w:val="00A84527"/>
    <w:rsid w:val="00A94D69"/>
    <w:rsid w:val="00AA3C0B"/>
    <w:rsid w:val="00AB4DAA"/>
    <w:rsid w:val="00AC0D6F"/>
    <w:rsid w:val="00AE609A"/>
    <w:rsid w:val="00B0204C"/>
    <w:rsid w:val="00B03852"/>
    <w:rsid w:val="00B07726"/>
    <w:rsid w:val="00B12861"/>
    <w:rsid w:val="00B1290C"/>
    <w:rsid w:val="00B14656"/>
    <w:rsid w:val="00B248E4"/>
    <w:rsid w:val="00B55EF3"/>
    <w:rsid w:val="00B9258D"/>
    <w:rsid w:val="00BC56C0"/>
    <w:rsid w:val="00C23E6B"/>
    <w:rsid w:val="00C41A79"/>
    <w:rsid w:val="00C54FE1"/>
    <w:rsid w:val="00C73851"/>
    <w:rsid w:val="00C9506F"/>
    <w:rsid w:val="00CA1C9A"/>
    <w:rsid w:val="00CB79CE"/>
    <w:rsid w:val="00CC7DB0"/>
    <w:rsid w:val="00CE14E5"/>
    <w:rsid w:val="00D143D2"/>
    <w:rsid w:val="00D46F79"/>
    <w:rsid w:val="00D716F6"/>
    <w:rsid w:val="00DA7EE9"/>
    <w:rsid w:val="00DB4CA1"/>
    <w:rsid w:val="00DC2A34"/>
    <w:rsid w:val="00DE393A"/>
    <w:rsid w:val="00DE6013"/>
    <w:rsid w:val="00DF3020"/>
    <w:rsid w:val="00E40D89"/>
    <w:rsid w:val="00E42344"/>
    <w:rsid w:val="00E75207"/>
    <w:rsid w:val="00E803CA"/>
    <w:rsid w:val="00E83497"/>
    <w:rsid w:val="00ED783D"/>
    <w:rsid w:val="00F053F4"/>
    <w:rsid w:val="00F7712A"/>
    <w:rsid w:val="00FB6EF8"/>
    <w:rsid w:val="00FC17D4"/>
    <w:rsid w:val="00FC5383"/>
    <w:rsid w:val="00FC5D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rPr>
  </w:style>
  <w:style w:type="paragraph" w:styleId="berschrift1">
    <w:name w:val="heading 1"/>
    <w:basedOn w:val="Standard"/>
    <w:next w:val="Standard"/>
    <w:qFormat/>
    <w:pPr>
      <w:numPr>
        <w:numId w:val="12"/>
      </w:numPr>
      <w:spacing w:before="360"/>
      <w:outlineLvl w:val="0"/>
    </w:pPr>
    <w:rPr>
      <w:b/>
      <w:caps/>
      <w:kern w:val="24"/>
      <w:sz w:val="28"/>
    </w:rPr>
  </w:style>
  <w:style w:type="paragraph" w:styleId="berschrift2">
    <w:name w:val="heading 2"/>
    <w:basedOn w:val="Standard"/>
    <w:next w:val="Standard"/>
    <w:qFormat/>
    <w:pPr>
      <w:numPr>
        <w:ilvl w:val="1"/>
        <w:numId w:val="12"/>
      </w:numPr>
      <w:spacing w:before="240"/>
      <w:outlineLvl w:val="1"/>
    </w:pPr>
    <w:rPr>
      <w:b/>
      <w:kern w:val="24"/>
      <w:sz w:val="26"/>
    </w:rPr>
  </w:style>
  <w:style w:type="paragraph" w:styleId="berschrift3">
    <w:name w:val="heading 3"/>
    <w:basedOn w:val="Standard"/>
    <w:next w:val="Standard"/>
    <w:qFormat/>
    <w:pPr>
      <w:numPr>
        <w:ilvl w:val="2"/>
        <w:numId w:val="12"/>
      </w:numPr>
      <w:spacing w:before="240"/>
      <w:outlineLvl w:val="2"/>
    </w:pPr>
    <w:rPr>
      <w:b/>
      <w:i/>
      <w:kern w:val="24"/>
    </w:rPr>
  </w:style>
  <w:style w:type="paragraph" w:styleId="berschrift4">
    <w:name w:val="heading 4"/>
    <w:basedOn w:val="Standard"/>
    <w:next w:val="Standard"/>
    <w:qFormat/>
    <w:pPr>
      <w:keepNext/>
      <w:outlineLvl w:val="3"/>
    </w:pPr>
    <w:rPr>
      <w:sz w:val="32"/>
    </w:rPr>
  </w:style>
  <w:style w:type="paragraph" w:styleId="berschrift5">
    <w:name w:val="heading 5"/>
    <w:basedOn w:val="Standard"/>
    <w:next w:val="Standard"/>
    <w:qFormat/>
    <w:pPr>
      <w:keepNext/>
      <w:outlineLvl w:val="4"/>
    </w:pPr>
    <w:rPr>
      <w:b/>
      <w:sz w:val="3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leinschrift7">
    <w:name w:val="Kleinschrift 7"/>
    <w:basedOn w:val="Standard"/>
    <w:next w:val="Standard"/>
    <w:pPr>
      <w:spacing w:after="20"/>
    </w:pPr>
    <w:rPr>
      <w:sz w:val="14"/>
    </w:rPr>
  </w:style>
  <w:style w:type="paragraph" w:customStyle="1" w:styleId="Einzug-">
    <w:name w:val="Einzug -"/>
    <w:basedOn w:val="Standard"/>
    <w:pPr>
      <w:numPr>
        <w:numId w:val="15"/>
      </w:numPr>
      <w:spacing w:before="120"/>
    </w:pPr>
  </w:style>
  <w:style w:type="paragraph" w:customStyle="1" w:styleId="Einzug1">
    <w:name w:val="Einzug 1."/>
    <w:basedOn w:val="Standard"/>
    <w:pPr>
      <w:widowControl w:val="0"/>
      <w:spacing w:before="300"/>
      <w:ind w:left="425" w:hanging="425"/>
    </w:pPr>
  </w:style>
  <w:style w:type="paragraph" w:customStyle="1" w:styleId="Einzug1-">
    <w:name w:val="Einzug 1. -"/>
    <w:basedOn w:val="Standard"/>
    <w:pPr>
      <w:widowControl w:val="0"/>
      <w:numPr>
        <w:numId w:val="13"/>
      </w:numPr>
      <w:spacing w:before="120"/>
    </w:pPr>
  </w:style>
  <w:style w:type="paragraph" w:customStyle="1" w:styleId="Einzug1a">
    <w:name w:val="Einzug 1. a)"/>
    <w:basedOn w:val="Standard"/>
    <w:pPr>
      <w:widowControl w:val="0"/>
      <w:spacing w:before="240"/>
      <w:ind w:left="850" w:hanging="425"/>
    </w:pPr>
  </w:style>
  <w:style w:type="paragraph" w:customStyle="1" w:styleId="Einzug1a-">
    <w:name w:val="Einzug 1. a) -"/>
    <w:basedOn w:val="Standard"/>
    <w:pPr>
      <w:widowControl w:val="0"/>
      <w:numPr>
        <w:numId w:val="14"/>
      </w:numPr>
      <w:spacing w:before="80"/>
    </w:pPr>
  </w:style>
  <w:style w:type="paragraph" w:customStyle="1" w:styleId="Einzug11">
    <w:name w:val="Einzug 1.1"/>
    <w:basedOn w:val="Standard"/>
    <w:pPr>
      <w:widowControl w:val="0"/>
      <w:spacing w:before="240"/>
      <w:ind w:left="567" w:hanging="567"/>
    </w:pPr>
  </w:style>
  <w:style w:type="paragraph" w:customStyle="1" w:styleId="Einzug11-">
    <w:name w:val="Einzug 1.1 -"/>
    <w:basedOn w:val="Einzug11"/>
    <w:pPr>
      <w:spacing w:before="120"/>
      <w:ind w:left="794" w:hanging="227"/>
    </w:pPr>
  </w:style>
  <w:style w:type="paragraph" w:customStyle="1" w:styleId="Einzug11a">
    <w:name w:val="Einzug 1.1 a)"/>
    <w:basedOn w:val="Einzug11"/>
    <w:pPr>
      <w:spacing w:before="180"/>
      <w:ind w:left="992" w:hanging="425"/>
    </w:pPr>
  </w:style>
  <w:style w:type="paragraph" w:customStyle="1" w:styleId="Einzug111">
    <w:name w:val="Einzug 1.1.1"/>
    <w:basedOn w:val="Standard"/>
    <w:pPr>
      <w:widowControl w:val="0"/>
      <w:spacing w:before="180"/>
      <w:ind w:left="709" w:hanging="709"/>
    </w:pPr>
  </w:style>
  <w:style w:type="paragraph" w:customStyle="1" w:styleId="Einzug111-">
    <w:name w:val="Einzug 1.1.1 -"/>
    <w:basedOn w:val="Einzug111"/>
    <w:pPr>
      <w:spacing w:before="80"/>
      <w:ind w:firstLine="0"/>
    </w:pPr>
  </w:style>
  <w:style w:type="paragraph" w:customStyle="1" w:styleId="Einzug111a">
    <w:name w:val="Einzug 1.1.1 a)"/>
    <w:basedOn w:val="Einzug111"/>
    <w:pPr>
      <w:spacing w:before="120"/>
      <w:ind w:left="1134" w:hanging="425"/>
    </w:pPr>
  </w:style>
  <w:style w:type="paragraph" w:customStyle="1" w:styleId="Einzug111a1">
    <w:name w:val="Einzug 1.1.1 a) 1."/>
    <w:basedOn w:val="Einzug111a"/>
    <w:pPr>
      <w:tabs>
        <w:tab w:val="left" w:pos="3119"/>
        <w:tab w:val="left" w:pos="6096"/>
        <w:tab w:val="left" w:pos="7371"/>
        <w:tab w:val="left" w:pos="8505"/>
      </w:tabs>
      <w:spacing w:before="20" w:after="60"/>
      <w:ind w:left="1560"/>
    </w:pPr>
  </w:style>
  <w:style w:type="paragraph" w:customStyle="1" w:styleId="Einzug1111">
    <w:name w:val="Einzug 1.1.1.1"/>
    <w:basedOn w:val="Standard"/>
    <w:pPr>
      <w:widowControl w:val="0"/>
      <w:spacing w:before="120"/>
      <w:ind w:left="851" w:hanging="851"/>
    </w:pPr>
  </w:style>
  <w:style w:type="paragraph" w:customStyle="1" w:styleId="EinzugI">
    <w:name w:val="Einzug I."/>
    <w:basedOn w:val="Standard"/>
    <w:pPr>
      <w:widowControl w:val="0"/>
      <w:spacing w:before="360"/>
      <w:ind w:left="425" w:hanging="425"/>
    </w:pPr>
  </w:style>
  <w:style w:type="paragraph" w:customStyle="1" w:styleId="EinzugI1">
    <w:name w:val="Einzug I. 1."/>
    <w:basedOn w:val="EinzugI"/>
    <w:pPr>
      <w:spacing w:before="240"/>
      <w:ind w:left="850"/>
    </w:pPr>
  </w:style>
  <w:style w:type="paragraph" w:customStyle="1" w:styleId="EinzugI1-">
    <w:name w:val="Einzug I. 1. -"/>
    <w:basedOn w:val="EinzugI"/>
    <w:pPr>
      <w:spacing w:before="120"/>
      <w:ind w:left="1078" w:hanging="227"/>
    </w:pPr>
  </w:style>
  <w:style w:type="paragraph" w:customStyle="1" w:styleId="EinzugI1a">
    <w:name w:val="Einzug I. 1. a)"/>
    <w:basedOn w:val="EinzugI"/>
    <w:pPr>
      <w:spacing w:before="180"/>
      <w:ind w:left="1276"/>
    </w:pPr>
  </w:style>
  <w:style w:type="paragraph" w:customStyle="1" w:styleId="EinzugI11">
    <w:name w:val="Einzug I. 1.1"/>
    <w:basedOn w:val="EinzugI1"/>
    <w:pPr>
      <w:spacing w:before="180"/>
      <w:ind w:left="992" w:hanging="567"/>
    </w:pPr>
  </w:style>
  <w:style w:type="paragraph" w:customStyle="1" w:styleId="EinzugI11-">
    <w:name w:val="Einzug I. 1.1 -"/>
    <w:basedOn w:val="Standardeinzug"/>
    <w:pPr>
      <w:widowControl w:val="0"/>
      <w:spacing w:before="120"/>
      <w:ind w:left="1219" w:hanging="227"/>
    </w:pPr>
    <w:rPr>
      <w:rFonts w:ascii="Times New Roman" w:hAnsi="Times New Roman"/>
      <w:noProof/>
      <w:sz w:val="20"/>
    </w:rPr>
  </w:style>
  <w:style w:type="paragraph" w:styleId="Standardeinzug">
    <w:name w:val="Normal Indent"/>
    <w:basedOn w:val="Standard"/>
    <w:pPr>
      <w:ind w:left="708"/>
    </w:pPr>
  </w:style>
  <w:style w:type="paragraph" w:customStyle="1" w:styleId="EinzugI11a">
    <w:name w:val="Einzug I. 1.1 a)"/>
    <w:basedOn w:val="EinzugI"/>
    <w:pPr>
      <w:spacing w:before="120"/>
      <w:ind w:left="1417"/>
    </w:pPr>
  </w:style>
  <w:style w:type="paragraph" w:styleId="Fuzeile">
    <w:name w:val="footer"/>
    <w:basedOn w:val="Standard"/>
    <w:pPr>
      <w:tabs>
        <w:tab w:val="left" w:pos="1559"/>
        <w:tab w:val="right" w:pos="3260"/>
        <w:tab w:val="left" w:pos="3544"/>
      </w:tabs>
      <w:ind w:left="-454" w:right="-624"/>
    </w:pPr>
    <w:rPr>
      <w:sz w:val="14"/>
    </w:rPr>
  </w:style>
  <w:style w:type="paragraph" w:customStyle="1" w:styleId="Kleinschrift">
    <w:name w:val="Kleinschrift"/>
    <w:basedOn w:val="Standard"/>
    <w:next w:val="Standard"/>
    <w:rPr>
      <w:sz w:val="16"/>
    </w:rPr>
  </w:style>
  <w:style w:type="table" w:styleId="Tabellenraster">
    <w:name w:val="Table Grid"/>
    <w:basedOn w:val="NormaleTabelle"/>
    <w:rsid w:val="00DE6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9E75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rPr>
  </w:style>
  <w:style w:type="paragraph" w:styleId="berschrift1">
    <w:name w:val="heading 1"/>
    <w:basedOn w:val="Standard"/>
    <w:next w:val="Standard"/>
    <w:qFormat/>
    <w:pPr>
      <w:numPr>
        <w:numId w:val="12"/>
      </w:numPr>
      <w:spacing w:before="360"/>
      <w:outlineLvl w:val="0"/>
    </w:pPr>
    <w:rPr>
      <w:b/>
      <w:caps/>
      <w:kern w:val="24"/>
      <w:sz w:val="28"/>
    </w:rPr>
  </w:style>
  <w:style w:type="paragraph" w:styleId="berschrift2">
    <w:name w:val="heading 2"/>
    <w:basedOn w:val="Standard"/>
    <w:next w:val="Standard"/>
    <w:qFormat/>
    <w:pPr>
      <w:numPr>
        <w:ilvl w:val="1"/>
        <w:numId w:val="12"/>
      </w:numPr>
      <w:spacing w:before="240"/>
      <w:outlineLvl w:val="1"/>
    </w:pPr>
    <w:rPr>
      <w:b/>
      <w:kern w:val="24"/>
      <w:sz w:val="26"/>
    </w:rPr>
  </w:style>
  <w:style w:type="paragraph" w:styleId="berschrift3">
    <w:name w:val="heading 3"/>
    <w:basedOn w:val="Standard"/>
    <w:next w:val="Standard"/>
    <w:qFormat/>
    <w:pPr>
      <w:numPr>
        <w:ilvl w:val="2"/>
        <w:numId w:val="12"/>
      </w:numPr>
      <w:spacing w:before="240"/>
      <w:outlineLvl w:val="2"/>
    </w:pPr>
    <w:rPr>
      <w:b/>
      <w:i/>
      <w:kern w:val="24"/>
    </w:rPr>
  </w:style>
  <w:style w:type="paragraph" w:styleId="berschrift4">
    <w:name w:val="heading 4"/>
    <w:basedOn w:val="Standard"/>
    <w:next w:val="Standard"/>
    <w:qFormat/>
    <w:pPr>
      <w:keepNext/>
      <w:outlineLvl w:val="3"/>
    </w:pPr>
    <w:rPr>
      <w:sz w:val="32"/>
    </w:rPr>
  </w:style>
  <w:style w:type="paragraph" w:styleId="berschrift5">
    <w:name w:val="heading 5"/>
    <w:basedOn w:val="Standard"/>
    <w:next w:val="Standard"/>
    <w:qFormat/>
    <w:pPr>
      <w:keepNext/>
      <w:outlineLvl w:val="4"/>
    </w:pPr>
    <w:rPr>
      <w:b/>
      <w:sz w:val="3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leinschrift7">
    <w:name w:val="Kleinschrift 7"/>
    <w:basedOn w:val="Standard"/>
    <w:next w:val="Standard"/>
    <w:pPr>
      <w:spacing w:after="20"/>
    </w:pPr>
    <w:rPr>
      <w:sz w:val="14"/>
    </w:rPr>
  </w:style>
  <w:style w:type="paragraph" w:customStyle="1" w:styleId="Einzug-">
    <w:name w:val="Einzug -"/>
    <w:basedOn w:val="Standard"/>
    <w:pPr>
      <w:numPr>
        <w:numId w:val="15"/>
      </w:numPr>
      <w:spacing w:before="120"/>
    </w:pPr>
  </w:style>
  <w:style w:type="paragraph" w:customStyle="1" w:styleId="Einzug1">
    <w:name w:val="Einzug 1."/>
    <w:basedOn w:val="Standard"/>
    <w:pPr>
      <w:widowControl w:val="0"/>
      <w:spacing w:before="300"/>
      <w:ind w:left="425" w:hanging="425"/>
    </w:pPr>
  </w:style>
  <w:style w:type="paragraph" w:customStyle="1" w:styleId="Einzug1-">
    <w:name w:val="Einzug 1. -"/>
    <w:basedOn w:val="Standard"/>
    <w:pPr>
      <w:widowControl w:val="0"/>
      <w:numPr>
        <w:numId w:val="13"/>
      </w:numPr>
      <w:spacing w:before="120"/>
    </w:pPr>
  </w:style>
  <w:style w:type="paragraph" w:customStyle="1" w:styleId="Einzug1a">
    <w:name w:val="Einzug 1. a)"/>
    <w:basedOn w:val="Standard"/>
    <w:pPr>
      <w:widowControl w:val="0"/>
      <w:spacing w:before="240"/>
      <w:ind w:left="850" w:hanging="425"/>
    </w:pPr>
  </w:style>
  <w:style w:type="paragraph" w:customStyle="1" w:styleId="Einzug1a-">
    <w:name w:val="Einzug 1. a) -"/>
    <w:basedOn w:val="Standard"/>
    <w:pPr>
      <w:widowControl w:val="0"/>
      <w:numPr>
        <w:numId w:val="14"/>
      </w:numPr>
      <w:spacing w:before="80"/>
    </w:pPr>
  </w:style>
  <w:style w:type="paragraph" w:customStyle="1" w:styleId="Einzug11">
    <w:name w:val="Einzug 1.1"/>
    <w:basedOn w:val="Standard"/>
    <w:pPr>
      <w:widowControl w:val="0"/>
      <w:spacing w:before="240"/>
      <w:ind w:left="567" w:hanging="567"/>
    </w:pPr>
  </w:style>
  <w:style w:type="paragraph" w:customStyle="1" w:styleId="Einzug11-">
    <w:name w:val="Einzug 1.1 -"/>
    <w:basedOn w:val="Einzug11"/>
    <w:pPr>
      <w:spacing w:before="120"/>
      <w:ind w:left="794" w:hanging="227"/>
    </w:pPr>
  </w:style>
  <w:style w:type="paragraph" w:customStyle="1" w:styleId="Einzug11a">
    <w:name w:val="Einzug 1.1 a)"/>
    <w:basedOn w:val="Einzug11"/>
    <w:pPr>
      <w:spacing w:before="180"/>
      <w:ind w:left="992" w:hanging="425"/>
    </w:pPr>
  </w:style>
  <w:style w:type="paragraph" w:customStyle="1" w:styleId="Einzug111">
    <w:name w:val="Einzug 1.1.1"/>
    <w:basedOn w:val="Standard"/>
    <w:pPr>
      <w:widowControl w:val="0"/>
      <w:spacing w:before="180"/>
      <w:ind w:left="709" w:hanging="709"/>
    </w:pPr>
  </w:style>
  <w:style w:type="paragraph" w:customStyle="1" w:styleId="Einzug111-">
    <w:name w:val="Einzug 1.1.1 -"/>
    <w:basedOn w:val="Einzug111"/>
    <w:pPr>
      <w:spacing w:before="80"/>
      <w:ind w:firstLine="0"/>
    </w:pPr>
  </w:style>
  <w:style w:type="paragraph" w:customStyle="1" w:styleId="Einzug111a">
    <w:name w:val="Einzug 1.1.1 a)"/>
    <w:basedOn w:val="Einzug111"/>
    <w:pPr>
      <w:spacing w:before="120"/>
      <w:ind w:left="1134" w:hanging="425"/>
    </w:pPr>
  </w:style>
  <w:style w:type="paragraph" w:customStyle="1" w:styleId="Einzug111a1">
    <w:name w:val="Einzug 1.1.1 a) 1."/>
    <w:basedOn w:val="Einzug111a"/>
    <w:pPr>
      <w:tabs>
        <w:tab w:val="left" w:pos="3119"/>
        <w:tab w:val="left" w:pos="6096"/>
        <w:tab w:val="left" w:pos="7371"/>
        <w:tab w:val="left" w:pos="8505"/>
      </w:tabs>
      <w:spacing w:before="20" w:after="60"/>
      <w:ind w:left="1560"/>
    </w:pPr>
  </w:style>
  <w:style w:type="paragraph" w:customStyle="1" w:styleId="Einzug1111">
    <w:name w:val="Einzug 1.1.1.1"/>
    <w:basedOn w:val="Standard"/>
    <w:pPr>
      <w:widowControl w:val="0"/>
      <w:spacing w:before="120"/>
      <w:ind w:left="851" w:hanging="851"/>
    </w:pPr>
  </w:style>
  <w:style w:type="paragraph" w:customStyle="1" w:styleId="EinzugI">
    <w:name w:val="Einzug I."/>
    <w:basedOn w:val="Standard"/>
    <w:pPr>
      <w:widowControl w:val="0"/>
      <w:spacing w:before="360"/>
      <w:ind w:left="425" w:hanging="425"/>
    </w:pPr>
  </w:style>
  <w:style w:type="paragraph" w:customStyle="1" w:styleId="EinzugI1">
    <w:name w:val="Einzug I. 1."/>
    <w:basedOn w:val="EinzugI"/>
    <w:pPr>
      <w:spacing w:before="240"/>
      <w:ind w:left="850"/>
    </w:pPr>
  </w:style>
  <w:style w:type="paragraph" w:customStyle="1" w:styleId="EinzugI1-">
    <w:name w:val="Einzug I. 1. -"/>
    <w:basedOn w:val="EinzugI"/>
    <w:pPr>
      <w:spacing w:before="120"/>
      <w:ind w:left="1078" w:hanging="227"/>
    </w:pPr>
  </w:style>
  <w:style w:type="paragraph" w:customStyle="1" w:styleId="EinzugI1a">
    <w:name w:val="Einzug I. 1. a)"/>
    <w:basedOn w:val="EinzugI"/>
    <w:pPr>
      <w:spacing w:before="180"/>
      <w:ind w:left="1276"/>
    </w:pPr>
  </w:style>
  <w:style w:type="paragraph" w:customStyle="1" w:styleId="EinzugI11">
    <w:name w:val="Einzug I. 1.1"/>
    <w:basedOn w:val="EinzugI1"/>
    <w:pPr>
      <w:spacing w:before="180"/>
      <w:ind w:left="992" w:hanging="567"/>
    </w:pPr>
  </w:style>
  <w:style w:type="paragraph" w:customStyle="1" w:styleId="EinzugI11-">
    <w:name w:val="Einzug I. 1.1 -"/>
    <w:basedOn w:val="Standardeinzug"/>
    <w:pPr>
      <w:widowControl w:val="0"/>
      <w:spacing w:before="120"/>
      <w:ind w:left="1219" w:hanging="227"/>
    </w:pPr>
    <w:rPr>
      <w:rFonts w:ascii="Times New Roman" w:hAnsi="Times New Roman"/>
      <w:noProof/>
      <w:sz w:val="20"/>
    </w:rPr>
  </w:style>
  <w:style w:type="paragraph" w:styleId="Standardeinzug">
    <w:name w:val="Normal Indent"/>
    <w:basedOn w:val="Standard"/>
    <w:pPr>
      <w:ind w:left="708"/>
    </w:pPr>
  </w:style>
  <w:style w:type="paragraph" w:customStyle="1" w:styleId="EinzugI11a">
    <w:name w:val="Einzug I. 1.1 a)"/>
    <w:basedOn w:val="EinzugI"/>
    <w:pPr>
      <w:spacing w:before="120"/>
      <w:ind w:left="1417"/>
    </w:pPr>
  </w:style>
  <w:style w:type="paragraph" w:styleId="Fuzeile">
    <w:name w:val="footer"/>
    <w:basedOn w:val="Standard"/>
    <w:pPr>
      <w:tabs>
        <w:tab w:val="left" w:pos="1559"/>
        <w:tab w:val="right" w:pos="3260"/>
        <w:tab w:val="left" w:pos="3544"/>
      </w:tabs>
      <w:ind w:left="-454" w:right="-624"/>
    </w:pPr>
    <w:rPr>
      <w:sz w:val="14"/>
    </w:rPr>
  </w:style>
  <w:style w:type="paragraph" w:customStyle="1" w:styleId="Kleinschrift">
    <w:name w:val="Kleinschrift"/>
    <w:basedOn w:val="Standard"/>
    <w:next w:val="Standard"/>
    <w:rPr>
      <w:sz w:val="16"/>
    </w:rPr>
  </w:style>
  <w:style w:type="table" w:styleId="Tabellenraster">
    <w:name w:val="Table Grid"/>
    <w:basedOn w:val="NormaleTabelle"/>
    <w:rsid w:val="00DE6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9E75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6C75EDD4.dotm</Template>
  <TotalTime>0</TotalTime>
  <Pages>1</Pages>
  <Words>392</Words>
  <Characters>2369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Unterlassung UVP</vt:lpstr>
    </vt:vector>
  </TitlesOfParts>
  <Company>LRA Kronach</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Unterlassung UVP</dc:title>
  <dc:creator>Anerger</dc:creator>
  <cp:keywords>Teichanlagen</cp:keywords>
  <cp:lastModifiedBy>Thomas Haemmerling</cp:lastModifiedBy>
  <cp:revision>2</cp:revision>
  <cp:lastPrinted>2019-08-05T08:20:00Z</cp:lastPrinted>
  <dcterms:created xsi:type="dcterms:W3CDTF">2020-08-28T09:51:00Z</dcterms:created>
  <dcterms:modified xsi:type="dcterms:W3CDTF">2020-08-28T09:51:00Z</dcterms:modified>
</cp:coreProperties>
</file>