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227C6" w:rsidRDefault="009227C6">
            <w:pPr>
              <w:rPr>
                <w:sz w:val="20"/>
              </w:rPr>
            </w:pPr>
            <w:bookmarkStart w:id="0" w:name="organisation"/>
            <w:r w:rsidRPr="009227C6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227C6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227C6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227C6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227C6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68367B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8367B">
              <w:rPr>
                <w:sz w:val="16"/>
                <w:szCs w:val="16"/>
              </w:rPr>
              <w:instrText xml:space="preserve"> FORMTEXT </w:instrText>
            </w:r>
            <w:r w:rsidR="0068367B">
              <w:rPr>
                <w:sz w:val="16"/>
                <w:szCs w:val="16"/>
              </w:rPr>
            </w:r>
            <w:r w:rsidR="0068367B">
              <w:rPr>
                <w:sz w:val="16"/>
                <w:szCs w:val="16"/>
              </w:rPr>
              <w:fldChar w:fldCharType="separate"/>
            </w:r>
            <w:r w:rsidR="0068367B">
              <w:rPr>
                <w:noProof/>
                <w:sz w:val="16"/>
                <w:szCs w:val="16"/>
              </w:rPr>
              <w:t> </w:t>
            </w:r>
            <w:r w:rsidR="0068367B">
              <w:rPr>
                <w:noProof/>
                <w:sz w:val="16"/>
                <w:szCs w:val="16"/>
              </w:rPr>
              <w:t> </w:t>
            </w:r>
            <w:r w:rsidR="0068367B">
              <w:rPr>
                <w:noProof/>
                <w:sz w:val="16"/>
                <w:szCs w:val="16"/>
              </w:rPr>
              <w:t> </w:t>
            </w:r>
            <w:r w:rsidR="0068367B">
              <w:rPr>
                <w:noProof/>
                <w:sz w:val="16"/>
                <w:szCs w:val="16"/>
              </w:rPr>
              <w:t> </w:t>
            </w:r>
            <w:r w:rsidR="0068367B">
              <w:rPr>
                <w:noProof/>
                <w:sz w:val="16"/>
                <w:szCs w:val="16"/>
              </w:rPr>
              <w:t> </w:t>
            </w:r>
            <w:r w:rsidR="0068367B">
              <w:rPr>
                <w:sz w:val="16"/>
                <w:szCs w:val="16"/>
              </w:rPr>
              <w:fldChar w:fldCharType="end"/>
            </w:r>
            <w:bookmarkEnd w:id="6"/>
          </w:p>
          <w:p w:rsidR="00633337" w:rsidRDefault="00633337">
            <w:pPr>
              <w:rPr>
                <w:sz w:val="20"/>
              </w:rPr>
            </w:pPr>
          </w:p>
          <w:p w:rsidR="00633337" w:rsidRDefault="006836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F15ACB">
              <w:rPr>
                <w:b/>
                <w:noProof/>
                <w:sz w:val="20"/>
              </w:rPr>
              <w:t>01.12.2022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F15ACB">
        <w:rPr>
          <w:sz w:val="22"/>
          <w:szCs w:val="22"/>
        </w:rPr>
        <w:t>1880/14</w:t>
      </w:r>
      <w:r w:rsidRPr="00C87B21">
        <w:rPr>
          <w:sz w:val="22"/>
          <w:szCs w:val="22"/>
        </w:rPr>
        <w:t xml:space="preserve"> der Gemarkung </w:t>
      </w:r>
      <w:r w:rsidR="00F15ACB">
        <w:rPr>
          <w:sz w:val="22"/>
          <w:szCs w:val="22"/>
        </w:rPr>
        <w:t>Alling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  <w:bookmarkStart w:id="7" w:name="_GoBack"/>
      <w:bookmarkEnd w:id="7"/>
    </w:p>
    <w:p w:rsidR="00633337" w:rsidRDefault="00633337"/>
    <w:p w:rsidR="00C87B21" w:rsidRDefault="008C516E" w:rsidP="008C516E">
      <w:r>
        <w:t>Im Wasserrechtsverfahren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="009227C6" w:rsidRPr="009227C6">
        <w:t xml:space="preserve">Hinsichtlich der </w:t>
      </w:r>
      <w:r w:rsidR="009227C6" w:rsidRPr="00F15ACB">
        <w:t xml:space="preserve">in Anlage 3 Nr. 2.3 zum UVPG genannte Schutzgüter bzw. Gebiete bedarf das Schutzziel des vorläufig gesicherten Überschwemmungsgebietes einer besonderen Berücksichtigung. Diesen Anforderungen wurde durch Nebenbestimmungen </w:t>
      </w:r>
      <w:r w:rsidR="009227C6" w:rsidRPr="009227C6">
        <w:t xml:space="preserve">Rechnung getragen.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CC023E" w:rsidRDefault="00CC023E" w:rsidP="00CC023E">
      <w:r>
        <w:t>Für das Vorhaben wird daher keine formelle Umweltverträglichkeitsprüfung durchgeführt.</w:t>
      </w:r>
    </w:p>
    <w:p w:rsidR="00CC023E" w:rsidRDefault="00CC023E" w:rsidP="00CC023E">
      <w:r>
        <w:t>Die Feststellung wird hiermit gemäß § 5 Abs. 2 Satz 1 UVPG öffentlich bekannt gemacht.</w:t>
      </w:r>
    </w:p>
    <w:p w:rsidR="00CC023E" w:rsidRDefault="00CC023E" w:rsidP="00CC023E"/>
    <w:p w:rsidR="00CC023E" w:rsidRDefault="00CC023E" w:rsidP="00CC023E">
      <w:r>
        <w:t>Das Landratsamt Fürstenfeldbruck weist darauf hin, dass diese Feststellung nach § 5 Abs. 3 S. 1 UVPG nicht selbständig anfechtbar ist.</w:t>
      </w:r>
    </w:p>
    <w:p w:rsidR="00CC023E" w:rsidRDefault="00CC023E" w:rsidP="00CC023E"/>
    <w:p w:rsidR="00633337" w:rsidRDefault="00633337" w:rsidP="008C516E"/>
    <w:p w:rsidR="00EB4974" w:rsidRDefault="0026000D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6F53F7" wp14:editId="05F5205F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7B" w:rsidRDefault="0068367B" w:rsidP="0068367B">
                            <w:r>
                              <w:t>Der Veröffentlichung im UVP-Portal wird zugestimmt.</w:t>
                            </w:r>
                          </w:p>
                          <w:p w:rsidR="0068367B" w:rsidRDefault="0068367B" w:rsidP="0068367B"/>
                          <w:p w:rsidR="0068367B" w:rsidRDefault="0068367B" w:rsidP="0068367B"/>
                          <w:p w:rsidR="0068367B" w:rsidRDefault="0068367B" w:rsidP="0068367B"/>
                          <w:p w:rsidR="0068367B" w:rsidRPr="00A574BF" w:rsidRDefault="0068367B" w:rsidP="0068367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367B" w:rsidRPr="00376EFD" w:rsidRDefault="0068367B" w:rsidP="0068367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F53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68367B" w:rsidRDefault="0068367B" w:rsidP="0068367B">
                      <w:r>
                        <w:t>Der Veröffentlichung im UVP-Portal wird zugestimmt.</w:t>
                      </w:r>
                    </w:p>
                    <w:p w:rsidR="0068367B" w:rsidRDefault="0068367B" w:rsidP="0068367B"/>
                    <w:p w:rsidR="0068367B" w:rsidRDefault="0068367B" w:rsidP="0068367B"/>
                    <w:p w:rsidR="0068367B" w:rsidRDefault="0068367B" w:rsidP="0068367B"/>
                    <w:p w:rsidR="0068367B" w:rsidRPr="00A574BF" w:rsidRDefault="0068367B" w:rsidP="0068367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68367B" w:rsidRPr="00376EFD" w:rsidRDefault="0068367B" w:rsidP="0068367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67B" w:rsidRDefault="0068367B" w:rsidP="008C516E"/>
    <w:p w:rsidR="00C87B21" w:rsidRDefault="00C87B21" w:rsidP="008C516E"/>
    <w:p w:rsidR="00C87B21" w:rsidRDefault="00C87B21" w:rsidP="008C516E"/>
    <w:p w:rsidR="00C87B21" w:rsidRDefault="00C87B21" w:rsidP="008C516E"/>
    <w:p w:rsidR="007334E5" w:rsidRDefault="00F15ACB">
      <w:proofErr w:type="spellStart"/>
      <w:r>
        <w:t>Schlör</w:t>
      </w:r>
      <w:proofErr w:type="spellEnd"/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86" w:rsidRDefault="00D36486">
      <w:r>
        <w:separator/>
      </w:r>
    </w:p>
  </w:endnote>
  <w:endnote w:type="continuationSeparator" w:id="0">
    <w:p w:rsidR="00D36486" w:rsidRDefault="00D3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86" w:rsidRDefault="00D36486">
      <w:r>
        <w:separator/>
      </w:r>
    </w:p>
  </w:footnote>
  <w:footnote w:type="continuationSeparator" w:id="0">
    <w:p w:rsidR="00D36486" w:rsidRDefault="00D3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5CC7B76A" wp14:editId="74D45504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B608F7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F4068"/>
    <w:rsid w:val="00126B1E"/>
    <w:rsid w:val="00135E88"/>
    <w:rsid w:val="001C3D13"/>
    <w:rsid w:val="0020166B"/>
    <w:rsid w:val="002512DA"/>
    <w:rsid w:val="0026000D"/>
    <w:rsid w:val="002D3368"/>
    <w:rsid w:val="00302DB6"/>
    <w:rsid w:val="00321C5F"/>
    <w:rsid w:val="00352567"/>
    <w:rsid w:val="00450483"/>
    <w:rsid w:val="004630E3"/>
    <w:rsid w:val="00472E2C"/>
    <w:rsid w:val="0054441B"/>
    <w:rsid w:val="00557719"/>
    <w:rsid w:val="00571AD1"/>
    <w:rsid w:val="00592FA9"/>
    <w:rsid w:val="005A4A15"/>
    <w:rsid w:val="005F508B"/>
    <w:rsid w:val="00633337"/>
    <w:rsid w:val="00650CD5"/>
    <w:rsid w:val="00653EFA"/>
    <w:rsid w:val="0068367B"/>
    <w:rsid w:val="006D5772"/>
    <w:rsid w:val="007334E5"/>
    <w:rsid w:val="007614C8"/>
    <w:rsid w:val="007B0B8B"/>
    <w:rsid w:val="007D4D1C"/>
    <w:rsid w:val="00806B2F"/>
    <w:rsid w:val="00826632"/>
    <w:rsid w:val="008777CC"/>
    <w:rsid w:val="008A00E8"/>
    <w:rsid w:val="008B20CD"/>
    <w:rsid w:val="008C516E"/>
    <w:rsid w:val="008C76AB"/>
    <w:rsid w:val="009062B9"/>
    <w:rsid w:val="00913488"/>
    <w:rsid w:val="009227C6"/>
    <w:rsid w:val="00933328"/>
    <w:rsid w:val="00977517"/>
    <w:rsid w:val="00A66BA9"/>
    <w:rsid w:val="00A83E8C"/>
    <w:rsid w:val="00AB7F80"/>
    <w:rsid w:val="00AE133D"/>
    <w:rsid w:val="00AF6AE9"/>
    <w:rsid w:val="00B041CA"/>
    <w:rsid w:val="00B449A1"/>
    <w:rsid w:val="00B608F7"/>
    <w:rsid w:val="00B90F8B"/>
    <w:rsid w:val="00C02E8E"/>
    <w:rsid w:val="00C87B21"/>
    <w:rsid w:val="00CC023E"/>
    <w:rsid w:val="00CC60CD"/>
    <w:rsid w:val="00D05C1A"/>
    <w:rsid w:val="00D17887"/>
    <w:rsid w:val="00D35E1A"/>
    <w:rsid w:val="00D36486"/>
    <w:rsid w:val="00DD611A"/>
    <w:rsid w:val="00DF3775"/>
    <w:rsid w:val="00EA7D38"/>
    <w:rsid w:val="00EB4974"/>
    <w:rsid w:val="00EF408E"/>
    <w:rsid w:val="00EF59C7"/>
    <w:rsid w:val="00F15ACB"/>
    <w:rsid w:val="00F25DE5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FB326"/>
  <w15:docId w15:val="{F2ACCDBD-1F8C-4654-8884-6DF6D036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BD8D-E50F-45E8-A2E1-979858DD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EinleitungÜgebietA.dotx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Schloer, Simon</cp:lastModifiedBy>
  <cp:revision>2</cp:revision>
  <cp:lastPrinted>2019-09-23T12:58:00Z</cp:lastPrinted>
  <dcterms:created xsi:type="dcterms:W3CDTF">2022-12-01T13:03:00Z</dcterms:created>
  <dcterms:modified xsi:type="dcterms:W3CDTF">2022-12-01T13:03:00Z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