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u w:val="single"/>
        </w:rPr>
      </w:pPr>
      <w:r>
        <w:rPr>
          <w:rFonts w:ascii="Arial" w:hAnsi="Arial" w:cs="Arial"/>
          <w:b/>
          <w:sz w:val="28"/>
          <w:u w:val="single"/>
        </w:rPr>
        <w:t>Bekanntmachung</w:t>
      </w:r>
    </w:p>
    <w:p>
      <w:pPr>
        <w:pStyle w:val="Textkrper"/>
        <w:rPr>
          <w:rFonts w:cs="Arial"/>
          <w:szCs w:val="22"/>
        </w:rPr>
      </w:pPr>
    </w:p>
    <w:p>
      <w:pPr>
        <w:pStyle w:val="Textkrper"/>
        <w:rPr>
          <w:rFonts w:cs="Arial"/>
          <w:szCs w:val="22"/>
        </w:rPr>
      </w:pPr>
      <w:r>
        <w:rPr>
          <w:rFonts w:cs="Arial"/>
          <w:szCs w:val="22"/>
        </w:rPr>
        <w:t>Vollzug der Wassergesetze und des Gesetzes über die Umweltverträglichkeitsprüfung (UVPG);</w:t>
      </w:r>
    </w:p>
    <w:p>
      <w:pPr>
        <w:spacing w:after="0" w:line="240" w:lineRule="auto"/>
        <w:jc w:val="both"/>
        <w:rPr>
          <w:rFonts w:ascii="Arial" w:hAnsi="Arial" w:cs="Arial"/>
        </w:rPr>
      </w:pPr>
      <w:r>
        <w:rPr>
          <w:rFonts w:ascii="Arial" w:hAnsi="Arial" w:cs="Arial"/>
        </w:rPr>
        <w:t xml:space="preserve">Entnahme, </w:t>
      </w:r>
      <w:proofErr w:type="spellStart"/>
      <w:r>
        <w:rPr>
          <w:rFonts w:ascii="Arial" w:hAnsi="Arial" w:cs="Arial"/>
        </w:rPr>
        <w:t>Zutageförderung</w:t>
      </w:r>
      <w:proofErr w:type="spellEnd"/>
      <w:r>
        <w:rPr>
          <w:rFonts w:ascii="Arial" w:hAnsi="Arial" w:cs="Arial"/>
        </w:rPr>
        <w:t xml:space="preserve"> und Ableitung von Grundwasser aus 3 Tiefbrunnen (Brunnen </w:t>
      </w:r>
      <w:proofErr w:type="gramStart"/>
      <w:r>
        <w:rPr>
          <w:rFonts w:ascii="Arial" w:hAnsi="Arial" w:cs="Arial"/>
        </w:rPr>
        <w:t xml:space="preserve">I,   </w:t>
      </w:r>
      <w:proofErr w:type="gramEnd"/>
      <w:r>
        <w:rPr>
          <w:rFonts w:ascii="Arial" w:hAnsi="Arial" w:cs="Arial"/>
        </w:rPr>
        <w:t xml:space="preserve">  II a und III a) auf den Grundstücken Flur Nrn. 1374/1, 1413/1 und 1350/1, Gemarkung und Gemeinde Hunderdorf, zur Trinkwasserversorgung im Versorgungsgebiet des Zweckverbandes zur Wasserversorgung der Bogenbachtalgruppe durch den Zweckverband  zur Wasserversorgung der Bogenbachtalgruppe, </w:t>
      </w:r>
      <w:proofErr w:type="spellStart"/>
      <w:r>
        <w:rPr>
          <w:rFonts w:ascii="Arial" w:hAnsi="Arial" w:cs="Arial"/>
        </w:rPr>
        <w:t>Leutnerstraße</w:t>
      </w:r>
      <w:proofErr w:type="spellEnd"/>
      <w:r>
        <w:rPr>
          <w:rFonts w:ascii="Arial" w:hAnsi="Arial" w:cs="Arial"/>
        </w:rPr>
        <w:t xml:space="preserve"> 26, 94315 Straubing</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Mit dem Bescheid des Landratsamtes Straubing-Bogen vom 19.02.1993, Az.: 43-642-11, zuletzt geändert mit dem Bescheid vom 18.12.2020, Az.: 21-6421/11, wurde dem Zweckverband zur Wasserversorgung der Bogenbachtalgruppe, </w:t>
      </w:r>
      <w:proofErr w:type="spellStart"/>
      <w:r>
        <w:rPr>
          <w:rFonts w:ascii="Arial" w:hAnsi="Arial" w:cs="Arial"/>
        </w:rPr>
        <w:t>Leutnerstraße</w:t>
      </w:r>
      <w:proofErr w:type="spellEnd"/>
      <w:r>
        <w:rPr>
          <w:rFonts w:ascii="Arial" w:hAnsi="Arial" w:cs="Arial"/>
        </w:rPr>
        <w:t xml:space="preserve"> 26, 94315 Straubing, die Bewilligung zur Entnahme, </w:t>
      </w:r>
      <w:proofErr w:type="spellStart"/>
      <w:r>
        <w:rPr>
          <w:rFonts w:ascii="Arial" w:hAnsi="Arial" w:cs="Arial"/>
        </w:rPr>
        <w:t>Zutageförderung</w:t>
      </w:r>
      <w:proofErr w:type="spellEnd"/>
      <w:r>
        <w:rPr>
          <w:rFonts w:ascii="Arial" w:hAnsi="Arial" w:cs="Arial"/>
        </w:rPr>
        <w:t xml:space="preserve"> und Ableitung von Grundwasser auf den Grundstücken Flur Nrn. 1374/1, 1413/1 und 1350/1, Gemarkung und Gemeinde Hunderdorf, aus insgesamt 3 Tiefbrunnen erteilt.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bewilligten Gewässerbenutzungen dienen der Trinkwasserversorgung im Versorgungsgebiet des Zweckverbandes zur Wasserversorgung der Bogenbachtalgruppe.</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Bewilligung war ursprünglich bis zum 31.12.2020 befristet und wurde mit dem Bescheid vom 18.12.2020, Az.: 21-6421/11, übergangsweise als beschränkte Erlaubnis nach Art. 15 BayWG bis zum 31.12.2023 befristet.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Zum Schutz der öffentlichen Trinkwasserversorgung wurde mit der Verordnung des Landratsamtes Straubing-Bogen vom 19.02.1993 ein Trinkwasserschutzgebiet festgesetzt (veröffentlicht im Amtsblatt Nr. 8 des Landkreises Straubing-Bogen vom 03.03.1993).</w:t>
      </w:r>
    </w:p>
    <w:p>
      <w:pPr>
        <w:spacing w:after="0" w:line="240" w:lineRule="auto"/>
        <w:jc w:val="both"/>
        <w:rPr>
          <w:rFonts w:ascii="Arial" w:hAnsi="Arial" w:cs="Arial"/>
        </w:rPr>
      </w:pPr>
    </w:p>
    <w:p>
      <w:pPr>
        <w:tabs>
          <w:tab w:val="left" w:pos="1134"/>
        </w:tabs>
        <w:spacing w:after="0" w:line="240" w:lineRule="auto"/>
        <w:jc w:val="both"/>
        <w:rPr>
          <w:rFonts w:ascii="Arial" w:hAnsi="Arial" w:cs="Arial"/>
        </w:rPr>
      </w:pPr>
      <w:r>
        <w:rPr>
          <w:rFonts w:ascii="Arial" w:hAnsi="Arial" w:cs="Arial"/>
        </w:rPr>
        <w:t xml:space="preserve">Mit dem Schreiben vom 31.10.2023 beantragte der Zweckverband zur Wasserversorgung der Bogenbachtalgruppe eine nochmalige vorübergehende Befristung der Erlaubnis für die Entnahme, </w:t>
      </w:r>
      <w:proofErr w:type="spellStart"/>
      <w:r>
        <w:rPr>
          <w:rFonts w:ascii="Arial" w:hAnsi="Arial" w:cs="Arial"/>
        </w:rPr>
        <w:t>Zutageförderung</w:t>
      </w:r>
      <w:proofErr w:type="spellEnd"/>
      <w:r>
        <w:rPr>
          <w:rFonts w:ascii="Arial" w:hAnsi="Arial" w:cs="Arial"/>
        </w:rPr>
        <w:t xml:space="preserve"> und Ableitung von Grundwasser aus 3 Tiefbrunnen (Brunnen I, II a und III a) auf den Grundstücken Flur Nrn. 1374/1, 1413/1 und 1350/1, Gemarkung und Gemeinde Hunderdorf, bis zum 31.12.2026, weil die für das wasserrechtliche Gestattungsverfahren erforderlichen Antragsunterlagen immer noch nicht vorliegen. Das Sachverständigenbüro für Grundwasser Anders &amp; Raum ist mit der Erstellung der Antragsunterlagen beauftragt. Gemäß telefonischer Rücksprache mit dem Sachverständigenbüro für Grundwasser Anders &amp; Raum kann mit der Vorlage der Antragsunterlagen bis Ende des Jahres 2023 gerechnet werden.</w:t>
      </w:r>
    </w:p>
    <w:p>
      <w:pPr>
        <w:spacing w:after="0" w:line="240" w:lineRule="auto"/>
        <w:jc w:val="both"/>
        <w:rPr>
          <w:rFonts w:ascii="Arial" w:hAnsi="Arial" w:cs="Arial"/>
        </w:rPr>
      </w:pPr>
    </w:p>
    <w:p>
      <w:pPr>
        <w:pStyle w:val="Kopfzeile"/>
        <w:tabs>
          <w:tab w:val="clear" w:pos="4536"/>
          <w:tab w:val="clear" w:pos="9072"/>
        </w:tabs>
        <w:jc w:val="both"/>
        <w:rPr>
          <w:rFonts w:cs="Arial"/>
        </w:rPr>
      </w:pPr>
      <w:r>
        <w:rPr>
          <w:rFonts w:cs="Arial"/>
        </w:rPr>
        <w:t xml:space="preserve">Sobald die prüffähigen, vollständigen Antragsunterlagen dem Landratsamt Straubing-Bogen vorliegen, kann das neue wasserrechtliche Gestattungsverfahren durchgeführt werden. </w:t>
      </w:r>
    </w:p>
    <w:p>
      <w:pPr>
        <w:pStyle w:val="Kopfzeile"/>
        <w:tabs>
          <w:tab w:val="clear" w:pos="4536"/>
          <w:tab w:val="clear" w:pos="9072"/>
        </w:tabs>
        <w:rPr>
          <w:rFonts w:cs="Arial"/>
        </w:rPr>
      </w:pPr>
    </w:p>
    <w:p>
      <w:pPr>
        <w:spacing w:after="0" w:line="240" w:lineRule="auto"/>
        <w:jc w:val="both"/>
        <w:rPr>
          <w:rFonts w:ascii="Arial" w:hAnsi="Arial" w:cs="Arial"/>
          <w:u w:val="single"/>
        </w:rPr>
      </w:pPr>
      <w:r>
        <w:rPr>
          <w:rFonts w:ascii="Arial" w:hAnsi="Arial" w:cs="Arial"/>
        </w:rPr>
        <w:t xml:space="preserve">Entnommen werden sollen weiterhin: </w:t>
      </w:r>
      <w:r>
        <w:rPr>
          <w:rFonts w:ascii="Arial" w:hAnsi="Arial" w:cs="Arial"/>
        </w:rPr>
        <w:tab/>
      </w:r>
      <w:r>
        <w:rPr>
          <w:rFonts w:ascii="Arial" w:hAnsi="Arial" w:cs="Arial"/>
          <w:u w:val="single"/>
        </w:rPr>
        <w:t>Brunnen I</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4,5 l/s, bis zu max. 195,0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71.000 m³/a</w:t>
      </w:r>
    </w:p>
    <w:p>
      <w:pPr>
        <w:spacing w:after="0" w:line="240" w:lineRule="auto"/>
        <w:jc w:val="both"/>
        <w:rPr>
          <w:rFonts w:ascii="Arial" w:hAnsi="Arial" w:cs="Arial"/>
        </w:rPr>
      </w:pPr>
    </w:p>
    <w:p>
      <w:pPr>
        <w:spacing w:after="0" w:line="240" w:lineRule="auto"/>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Brunnen II a</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10,0 l/s, bis zu max. 433,0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137.000 m³/a</w:t>
      </w:r>
    </w:p>
    <w:p>
      <w:pPr>
        <w:spacing w:after="0" w:line="240" w:lineRule="auto"/>
        <w:jc w:val="both"/>
        <w:rPr>
          <w:rFonts w:ascii="Arial" w:hAnsi="Arial" w:cs="Arial"/>
        </w:rPr>
      </w:pPr>
    </w:p>
    <w:p>
      <w:pPr>
        <w:spacing w:after="0" w:line="240" w:lineRule="auto"/>
        <w:jc w:val="both"/>
        <w:rPr>
          <w:rFonts w:ascii="Arial" w:hAnsi="Arial" w:cs="Arial"/>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Brunnen III a</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10,0 l/s, bis zu max. 433,0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137.000 m³/a.</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lastRenderedPageBreak/>
        <w:t xml:space="preserve">Insgesamt sollen aus den Tiefbrunnen I, II a und III a bis zu max. 24,5 l/s und bis zu max. 345.000 m³/a Grundwasser entnommen bzw. </w:t>
      </w:r>
      <w:proofErr w:type="spellStart"/>
      <w:r>
        <w:rPr>
          <w:rFonts w:ascii="Arial" w:hAnsi="Arial" w:cs="Arial"/>
        </w:rPr>
        <w:t>zutagegeleitet</w:t>
      </w:r>
      <w:proofErr w:type="spellEnd"/>
      <w:r>
        <w:rPr>
          <w:rFonts w:ascii="Arial" w:hAnsi="Arial" w:cs="Arial"/>
        </w:rPr>
        <w:t xml:space="preserve"> werden.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Verfahren hat den Anforderungen des Gesetzes über die Umweltverträglichkeitsprüfung (UVPG) zu entsprechen, wenn die Pflicht zur Durchführung einer Umweltverträglichkeitsprüfung festgestellt wird (§ 11 Abs. 1 WHG).</w:t>
      </w:r>
    </w:p>
    <w:p>
      <w:pPr>
        <w:spacing w:after="0" w:line="240" w:lineRule="auto"/>
        <w:rPr>
          <w:rFonts w:ascii="Arial" w:hAnsi="Arial" w:cs="Arial"/>
        </w:rPr>
      </w:pPr>
    </w:p>
    <w:p>
      <w:pPr>
        <w:tabs>
          <w:tab w:val="left" w:pos="1843"/>
          <w:tab w:val="left" w:pos="2694"/>
          <w:tab w:val="left" w:pos="3686"/>
        </w:tabs>
        <w:spacing w:after="0" w:line="240" w:lineRule="auto"/>
        <w:jc w:val="both"/>
        <w:rPr>
          <w:rFonts w:ascii="Arial" w:hAnsi="Arial" w:cs="Arial"/>
          <w:u w:val="single"/>
        </w:rPr>
      </w:pPr>
      <w:r>
        <w:rPr>
          <w:rFonts w:ascii="Arial" w:hAnsi="Arial" w:cs="Arial"/>
        </w:rPr>
        <w:t xml:space="preserve">Gemäß der Nr. 13.3.2 der Anlage 1 Liste „UVP-pflichtige Vorhaben“ des Gesetzes über die Umweltverträglichkeitsprüfung ist für das Entnehmen, </w:t>
      </w:r>
      <w:proofErr w:type="spellStart"/>
      <w:r>
        <w:rPr>
          <w:rFonts w:ascii="Arial" w:hAnsi="Arial" w:cs="Arial"/>
        </w:rPr>
        <w:t>Zutagefördern</w:t>
      </w:r>
      <w:proofErr w:type="spellEnd"/>
      <w:r>
        <w:rPr>
          <w:rFonts w:ascii="Arial" w:hAnsi="Arial" w:cs="Arial"/>
        </w:rPr>
        <w:t xml:space="preserve"> oder </w:t>
      </w:r>
      <w:proofErr w:type="spellStart"/>
      <w:r>
        <w:rPr>
          <w:rFonts w:ascii="Arial" w:hAnsi="Arial" w:cs="Arial"/>
        </w:rPr>
        <w:t>Zutageleiten</w:t>
      </w:r>
      <w:proofErr w:type="spellEnd"/>
      <w:r>
        <w:rPr>
          <w:rFonts w:ascii="Arial" w:hAnsi="Arial" w:cs="Arial"/>
        </w:rPr>
        <w:t xml:space="preserve"> von Grundwasser oder Einleiten von Oberflächenwasser zum Zwecke der Grundwasseranreicherung, jeweils mit einem jährlichen Volumen an Wasser von 100.000 m</w:t>
      </w:r>
      <w:r>
        <w:rPr>
          <w:rFonts w:ascii="Arial" w:hAnsi="Arial" w:cs="Arial"/>
          <w:vertAlign w:val="superscript"/>
        </w:rPr>
        <w:t>3</w:t>
      </w:r>
      <w:r>
        <w:rPr>
          <w:rFonts w:ascii="Arial" w:hAnsi="Arial" w:cs="Arial"/>
        </w:rPr>
        <w:t xml:space="preserve"> bis weniger als 10 Mio. m</w:t>
      </w:r>
      <w:r>
        <w:rPr>
          <w:rFonts w:ascii="Arial" w:hAnsi="Arial" w:cs="Arial"/>
          <w:vertAlign w:val="superscript"/>
        </w:rPr>
        <w:t>3</w:t>
      </w:r>
      <w:r>
        <w:rPr>
          <w:rFonts w:ascii="Arial" w:hAnsi="Arial" w:cs="Arial"/>
        </w:rPr>
        <w:t xml:space="preserve"> eine allgemeine Vorprüfung des Einzelfalls durchzuführen.</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wird als überschlägige Prüfung unter Berücksichtigung der in Anlage 3 UVPG aufgeführten Kriterien durchgeführt, ob für das Vorhaben erhebliche nachteilige Umweltauswirkungen zu erwarten sind und deshalb die Verpflichtung zur Durchführung einer Umweltverträglichkeitsprüfung besteht.</w:t>
      </w:r>
    </w:p>
    <w:p>
      <w:pPr>
        <w:tabs>
          <w:tab w:val="left" w:pos="1843"/>
          <w:tab w:val="left" w:pos="2694"/>
          <w:tab w:val="left" w:pos="3686"/>
        </w:tabs>
        <w:spacing w:after="0" w:line="240" w:lineRule="auto"/>
        <w:jc w:val="both"/>
        <w:rPr>
          <w:rFonts w:ascii="Arial" w:hAnsi="Arial" w:cs="Arial"/>
        </w:rPr>
      </w:pPr>
    </w:p>
    <w:p>
      <w:pPr>
        <w:tabs>
          <w:tab w:val="left" w:pos="1843"/>
          <w:tab w:val="left" w:pos="2694"/>
          <w:tab w:val="left" w:pos="3686"/>
        </w:tabs>
        <w:spacing w:after="0" w:line="240" w:lineRule="auto"/>
        <w:jc w:val="both"/>
        <w:rPr>
          <w:rFonts w:ascii="Arial" w:hAnsi="Arial" w:cs="Arial"/>
        </w:rPr>
      </w:pPr>
      <w:r>
        <w:rPr>
          <w:rFonts w:ascii="Arial" w:hAnsi="Arial" w:cs="Arial"/>
        </w:rPr>
        <w:t>Da die allgemeine Vorprüfung des Einzelfalls nach § 7 Abs. 1 UVPG ergeben hat, dass durch das Vorhaben, unter Berücksichtigung der in Anlage 3 zum UVPG aufgeführten Kriterien, keine erheblichen nachteiligen Umweltauswirkungen auf die in § 2 Abs. 1 UVPG genannten Schutzgüter (Menschen, insbesondere die menschliche Gesundheit, Tiere, Pflanzen und die biologische Vielfalt, Fläche, Boden, Wasser, Luft, Klima und Landschaft, kulturelles Erbe und sonstige Schutzgüter sowie die Wechselwirkung zwischen den vorgenannten Schutzgütern) zu erwarten sind, ist keine Umweltverträglichkeitsprüfung durchzuführen (§ 5 Abs. 1 UVPG).</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des Einzelfalls erfolgte unter Beteiligung des Wasserwirtschaftsamtes Deggendorf und des Landratsamtes Straubing-Bogen, Sachgruppe fachlicher Naturschutz.</w:t>
      </w:r>
    </w:p>
    <w:p>
      <w:pPr>
        <w:spacing w:after="0" w:line="240" w:lineRule="auto"/>
        <w:rPr>
          <w:rFonts w:ascii="Arial" w:hAnsi="Arial" w:cs="Arial"/>
        </w:rPr>
      </w:pPr>
    </w:p>
    <w:p>
      <w:pPr>
        <w:spacing w:after="0" w:line="240" w:lineRule="auto"/>
        <w:rPr>
          <w:rFonts w:ascii="Arial" w:hAnsi="Arial" w:cs="Arial"/>
        </w:rPr>
      </w:pPr>
      <w:r>
        <w:rPr>
          <w:rFonts w:ascii="Arial" w:hAnsi="Arial" w:cs="Arial"/>
        </w:rPr>
        <w:t xml:space="preserve">Die Schutzkriterien gemäß Anlage 3 Nr. 2.3 UVPG sind nicht betroffen. </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Wasserschutzgebiet, in dem sich die drei Brunnen befinden, dient dem Schutz dieser Brunnen.</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In der Vergangenheit wurden aus dem Betrieb der drei Brunnen keine erheblichen nachteiligen Auswirkungen auf die Schutzgüter des § 2 Abs. 1 UVPG festgestellt. Da sich der erlaubte Benutzungsumfang nicht wesentlich ändert, ist auch künftig nicht mit erheblichen nachteiligen Auswirkungen auf die Schutzgüter des § 2 Abs. 1 UVPG zu rechnen. Dies wurde auch inhaltlich in den Stellungnahmen des Wasserwirtschaftsamtes Deggendorf (amtlicher Sachverständiger) und des Landratsamtes Straubing-Bogen, fachlicher Naturschutz, bestätigt.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Erst bei einer jährlichen Entnahme von 10 Mio. m</w:t>
      </w:r>
      <w:r>
        <w:rPr>
          <w:rFonts w:ascii="Arial" w:hAnsi="Arial" w:cs="Arial"/>
          <w:vertAlign w:val="superscript"/>
        </w:rPr>
        <w:t>3</w:t>
      </w:r>
      <w:r>
        <w:rPr>
          <w:rFonts w:ascii="Arial" w:hAnsi="Arial" w:cs="Arial"/>
        </w:rPr>
        <w:t xml:space="preserve"> oder mehr ist die Durchführung einer Umweltverträglichkeitsprüfung verpflichtend. Im vorliegenden Fall sollen aus den Brunnen I, II a und III a insgesamt 345.000</w:t>
      </w:r>
      <w:bookmarkStart w:id="0" w:name="_GoBack"/>
      <w:bookmarkEnd w:id="0"/>
      <w:r>
        <w:rPr>
          <w:rFonts w:ascii="Arial" w:hAnsi="Arial" w:cs="Arial"/>
        </w:rPr>
        <w:t xml:space="preserve"> m</w:t>
      </w:r>
      <w:r>
        <w:rPr>
          <w:rFonts w:ascii="Arial" w:hAnsi="Arial" w:cs="Arial"/>
          <w:vertAlign w:val="superscript"/>
        </w:rPr>
        <w:t>3</w:t>
      </w:r>
      <w:r>
        <w:rPr>
          <w:rFonts w:ascii="Arial" w:hAnsi="Arial" w:cs="Arial"/>
        </w:rPr>
        <w:t xml:space="preserve"> im Jahr Grundwasser entnommen werden, sodass auch der Abstand zum Schwellenwert bereits ein Indiz für die Entbehrlichkeit einer Umweltverträglichkeitsprüfung darstellt.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allgemeine Vorprüfung des Einzelfalls erfolgte unter Beteiligung des Wasserwirtschaftsamtes Deggendorf und des Landratsamtes Straubing-Bogen, Sachgruppe fachlicher Naturschutz sowie der Abteilung Gesundheitswesen.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Diese Feststellung wird hiermit gemäß § 5 Abs. 2 UVPG bekannt gegeben. Es wird darauf hingewiesen, dass diese Feststellung gemäß § 5 Abs. 3 UVPG nicht selbständig anfechtbar ist.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lastRenderedPageBreak/>
        <w:t xml:space="preserve">Nähere Informationen können beim Landratsamt Straubing-Bogen, Sachgebiet Wasserrecht (Zimmer Nr. 238), </w:t>
      </w:r>
      <w:proofErr w:type="spellStart"/>
      <w:r>
        <w:rPr>
          <w:rFonts w:ascii="Arial" w:hAnsi="Arial" w:cs="Arial"/>
        </w:rPr>
        <w:t>Leutnerstraße</w:t>
      </w:r>
      <w:proofErr w:type="spellEnd"/>
      <w:r>
        <w:rPr>
          <w:rFonts w:ascii="Arial" w:hAnsi="Arial" w:cs="Arial"/>
        </w:rPr>
        <w:t xml:space="preserve"> 15, 94315 Straubing, Tel. Nr. 09421/973-267, eingeholt werden.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Straubing, 06.12.2023</w:t>
      </w:r>
    </w:p>
    <w:p>
      <w:pPr>
        <w:spacing w:after="0" w:line="240" w:lineRule="auto"/>
        <w:jc w:val="both"/>
        <w:rPr>
          <w:rFonts w:ascii="Arial" w:hAnsi="Arial" w:cs="Arial"/>
        </w:rPr>
      </w:pPr>
      <w:r>
        <w:rPr>
          <w:rFonts w:ascii="Arial" w:hAnsi="Arial" w:cs="Arial"/>
        </w:rPr>
        <w:t>Landratsamt Straubing-Bogen</w:t>
      </w:r>
    </w:p>
    <w:p>
      <w:pPr>
        <w:spacing w:after="0" w:line="240" w:lineRule="auto"/>
        <w:jc w:val="both"/>
        <w:rPr>
          <w:rFonts w:ascii="Arial" w:hAnsi="Arial" w:cs="Arial"/>
        </w:rPr>
      </w:pPr>
      <w:r>
        <w:rPr>
          <w:rFonts w:ascii="Arial" w:hAnsi="Arial" w:cs="Arial"/>
        </w:rPr>
        <w:t>Sachgebiet Wasserrecht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Roth</w:t>
      </w:r>
    </w:p>
    <w:p>
      <w:pPr>
        <w:spacing w:after="0" w:line="240" w:lineRule="auto"/>
        <w:rPr>
          <w:rFonts w:ascii="Arial" w:hAnsi="Arial" w:cs="Arial"/>
        </w:rPr>
      </w:pPr>
    </w:p>
    <w:sect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12E5A"/>
    <w:multiLevelType w:val="multilevel"/>
    <w:tmpl w:val="6DB67216"/>
    <w:styleLink w:val="Formatvorlage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EDB48FB"/>
    <w:multiLevelType w:val="singleLevel"/>
    <w:tmpl w:val="0978A7A2"/>
    <w:lvl w:ilvl="0">
      <w:start w:val="1"/>
      <w:numFmt w:val="decimal"/>
      <w:lvlText w:val="%1."/>
      <w:legacy w:legacy="1" w:legacySpace="0"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EB3EC-0BFB-426F-A1CC-D668774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pPr>
      <w:numPr>
        <w:numId w:val="1"/>
      </w:numPr>
    </w:pPr>
  </w:style>
  <w:style w:type="paragraph" w:styleId="Textkrper">
    <w:name w:val="Body Text"/>
    <w:basedOn w:val="Standard"/>
    <w:link w:val="TextkrperZchn"/>
    <w:pPr>
      <w:spacing w:after="0" w:line="240" w:lineRule="auto"/>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Pr>
      <w:rFonts w:ascii="Arial" w:eastAsia="Times New Roman" w:hAnsi="Arial" w:cs="Times New Roman"/>
      <w:b/>
      <w:szCs w:val="20"/>
      <w:lang w:eastAsia="de-DE"/>
    </w:rPr>
  </w:style>
  <w:style w:type="paragraph" w:styleId="Kopfzeile">
    <w:name w:val="header"/>
    <w:basedOn w:val="Standard"/>
    <w:link w:val="KopfzeileZchn"/>
    <w:pPr>
      <w:tabs>
        <w:tab w:val="center" w:pos="4536"/>
        <w:tab w:val="right" w:pos="9072"/>
      </w:tabs>
      <w:spacing w:after="0" w:line="240" w:lineRule="auto"/>
    </w:pPr>
    <w:rPr>
      <w:rFonts w:ascii="Arial" w:eastAsia="Times" w:hAnsi="Arial" w:cs="Times New Roman"/>
      <w:lang w:eastAsia="de-DE"/>
    </w:rPr>
  </w:style>
  <w:style w:type="character" w:customStyle="1" w:styleId="KopfzeileZchn">
    <w:name w:val="Kopfzeile Zchn"/>
    <w:basedOn w:val="Absatz-Standardschriftart"/>
    <w:link w:val="Kopfzeile"/>
    <w:rPr>
      <w:rFonts w:ascii="Arial" w:eastAsia="Times" w:hAnsi="Arial" w:cs="Times New Roman"/>
      <w:lang w:eastAsia="de-DE"/>
    </w:rPr>
  </w:style>
  <w:style w:type="paragraph" w:styleId="Listenabsatz">
    <w:name w:val="List Paragraph"/>
    <w:basedOn w:val="Standard"/>
    <w:uiPriority w:val="34"/>
    <w:qFormat/>
    <w:pPr>
      <w:spacing w:after="0" w:line="240" w:lineRule="auto"/>
      <w:ind w:left="720"/>
      <w:contextualSpacing/>
    </w:pPr>
    <w:rPr>
      <w:rFonts w:ascii="Arial" w:eastAsia="Times" w:hAnsi="Arial" w:cs="Times New Roman"/>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01AAC-88A5-4441-AC19-C0786560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Uwe</dc:creator>
  <cp:keywords/>
  <dc:description/>
  <cp:lastModifiedBy>Roth Uwe</cp:lastModifiedBy>
  <cp:revision>2</cp:revision>
  <cp:lastPrinted>2023-12-06T13:15:00Z</cp:lastPrinted>
  <dcterms:created xsi:type="dcterms:W3CDTF">2023-12-06T08:34:00Z</dcterms:created>
  <dcterms:modified xsi:type="dcterms:W3CDTF">2023-12-06T13:15:00Z</dcterms:modified>
</cp:coreProperties>
</file>