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5"/>
        <w:tblW w:w="9781" w:type="dxa"/>
        <w:tblCellMar>
          <w:left w:w="0" w:type="dxa"/>
          <w:right w:w="0" w:type="dxa"/>
        </w:tblCellMar>
        <w:tblLook w:val="0000" w:firstRow="0" w:lastRow="0" w:firstColumn="0" w:lastColumn="0" w:noHBand="0" w:noVBand="0"/>
      </w:tblPr>
      <w:tblGrid>
        <w:gridCol w:w="6578"/>
        <w:gridCol w:w="3203"/>
      </w:tblGrid>
      <w:tr w:rsidR="001D669B" w:rsidRPr="00C43D6A" w:rsidTr="001D669B">
        <w:trPr>
          <w:trHeight w:val="2050"/>
        </w:trPr>
        <w:tc>
          <w:tcPr>
            <w:tcW w:w="6578" w:type="dxa"/>
            <w:vMerge w:val="restart"/>
          </w:tcPr>
          <w:p w:rsidR="001D669B" w:rsidRPr="00C43D6A" w:rsidRDefault="001D669B" w:rsidP="00EB658C">
            <w:pPr>
              <w:rPr>
                <w:rFonts w:asciiTheme="minorHAnsi" w:hAnsiTheme="minorHAnsi" w:cstheme="minorHAnsi"/>
              </w:rPr>
            </w:pPr>
            <w:bookmarkStart w:id="0" w:name="zustellung"/>
            <w:bookmarkStart w:id="1" w:name="_GoBack"/>
            <w:bookmarkEnd w:id="0"/>
            <w:bookmarkEnd w:id="1"/>
          </w:p>
          <w:p w:rsidR="001D669B" w:rsidRPr="00C43D6A" w:rsidRDefault="001D669B" w:rsidP="00EB658C">
            <w:pPr>
              <w:rPr>
                <w:rFonts w:asciiTheme="minorHAnsi" w:hAnsiTheme="minorHAnsi" w:cstheme="minorHAnsi"/>
              </w:rPr>
            </w:pPr>
            <w:bookmarkStart w:id="2" w:name="anrede"/>
            <w:bookmarkEnd w:id="2"/>
          </w:p>
          <w:p w:rsidR="0068569F" w:rsidRPr="00C43D6A" w:rsidRDefault="0068569F" w:rsidP="00EB658C">
            <w:pPr>
              <w:rPr>
                <w:rFonts w:asciiTheme="minorHAnsi" w:hAnsiTheme="minorHAnsi" w:cstheme="minorHAnsi"/>
              </w:rPr>
            </w:pPr>
            <w:bookmarkStart w:id="3" w:name="vnname"/>
            <w:bookmarkEnd w:id="3"/>
            <w:r w:rsidRPr="00C43D6A">
              <w:rPr>
                <w:rFonts w:asciiTheme="minorHAnsi" w:hAnsiTheme="minorHAnsi" w:cstheme="minorHAnsi"/>
              </w:rPr>
              <w:t xml:space="preserve">SG </w:t>
            </w:r>
            <w:r w:rsidR="007C2130" w:rsidRPr="00C43D6A">
              <w:rPr>
                <w:rFonts w:asciiTheme="minorHAnsi" w:hAnsiTheme="minorHAnsi" w:cstheme="minorHAnsi"/>
              </w:rPr>
              <w:t>41</w:t>
            </w:r>
          </w:p>
          <w:p w:rsidR="0068569F" w:rsidRPr="00C43D6A" w:rsidRDefault="0068569F" w:rsidP="00EB658C">
            <w:pPr>
              <w:rPr>
                <w:rFonts w:asciiTheme="minorHAnsi" w:hAnsiTheme="minorHAnsi" w:cstheme="minorHAnsi"/>
              </w:rPr>
            </w:pPr>
            <w:r w:rsidRPr="00C43D6A">
              <w:rPr>
                <w:rFonts w:asciiTheme="minorHAnsi" w:hAnsiTheme="minorHAnsi" w:cstheme="minorHAnsi"/>
              </w:rPr>
              <w:t>Frau</w:t>
            </w:r>
            <w:r w:rsidR="007C6068" w:rsidRPr="00C43D6A">
              <w:rPr>
                <w:rFonts w:asciiTheme="minorHAnsi" w:hAnsiTheme="minorHAnsi" w:cstheme="minorHAnsi"/>
              </w:rPr>
              <w:t xml:space="preserve"> </w:t>
            </w:r>
            <w:r w:rsidR="007C2130" w:rsidRPr="00C43D6A">
              <w:rPr>
                <w:rFonts w:asciiTheme="minorHAnsi" w:hAnsiTheme="minorHAnsi" w:cstheme="minorHAnsi"/>
              </w:rPr>
              <w:t>Hohenbichler</w:t>
            </w:r>
          </w:p>
          <w:p w:rsidR="0068569F" w:rsidRPr="00C43D6A" w:rsidRDefault="0068569F" w:rsidP="00EB658C">
            <w:pPr>
              <w:rPr>
                <w:rFonts w:asciiTheme="minorHAnsi" w:hAnsiTheme="minorHAnsi" w:cstheme="minorHAnsi"/>
              </w:rPr>
            </w:pPr>
          </w:p>
          <w:p w:rsidR="0068569F" w:rsidRPr="00C43D6A" w:rsidRDefault="0068569F" w:rsidP="00EB658C">
            <w:pPr>
              <w:rPr>
                <w:rFonts w:asciiTheme="minorHAnsi" w:hAnsiTheme="minorHAnsi" w:cstheme="minorHAnsi"/>
              </w:rPr>
            </w:pPr>
            <w:r w:rsidRPr="00C43D6A">
              <w:rPr>
                <w:rFonts w:asciiTheme="minorHAnsi" w:hAnsiTheme="minorHAnsi" w:cstheme="minorHAnsi"/>
              </w:rPr>
              <w:t>Im Haus</w:t>
            </w:r>
            <w:r w:rsidR="007C2130" w:rsidRPr="00C43D6A">
              <w:rPr>
                <w:rFonts w:asciiTheme="minorHAnsi" w:hAnsiTheme="minorHAnsi" w:cstheme="minorHAnsi"/>
              </w:rPr>
              <w:t>e</w:t>
            </w:r>
          </w:p>
          <w:p w:rsidR="001D669B" w:rsidRPr="00C43D6A" w:rsidRDefault="001D669B" w:rsidP="00EB658C">
            <w:pPr>
              <w:rPr>
                <w:rFonts w:asciiTheme="minorHAnsi" w:hAnsiTheme="minorHAnsi" w:cstheme="minorHAnsi"/>
              </w:rPr>
            </w:pPr>
          </w:p>
          <w:p w:rsidR="001D669B" w:rsidRPr="00C43D6A" w:rsidRDefault="001D669B" w:rsidP="00EB658C">
            <w:pPr>
              <w:rPr>
                <w:rFonts w:asciiTheme="minorHAnsi" w:hAnsiTheme="minorHAnsi" w:cstheme="minorHAnsi"/>
              </w:rPr>
            </w:pPr>
            <w:bookmarkStart w:id="4" w:name="strasse"/>
            <w:bookmarkStart w:id="5" w:name="ort"/>
            <w:bookmarkEnd w:id="4"/>
            <w:bookmarkEnd w:id="5"/>
          </w:p>
          <w:p w:rsidR="001D669B" w:rsidRPr="00C43D6A" w:rsidRDefault="001D669B" w:rsidP="00EB658C">
            <w:pPr>
              <w:rPr>
                <w:rFonts w:asciiTheme="minorHAnsi" w:hAnsiTheme="minorHAnsi" w:cstheme="minorHAnsi"/>
              </w:rPr>
            </w:pPr>
          </w:p>
        </w:tc>
        <w:tc>
          <w:tcPr>
            <w:tcW w:w="3203" w:type="dxa"/>
            <w:tcBorders>
              <w:right w:val="nil"/>
            </w:tcBorders>
          </w:tcPr>
          <w:p w:rsidR="001D669B" w:rsidRPr="00C43D6A" w:rsidRDefault="0068569F" w:rsidP="00EB658C">
            <w:pPr>
              <w:rPr>
                <w:rFonts w:asciiTheme="minorHAnsi" w:hAnsiTheme="minorHAnsi" w:cstheme="minorHAnsi"/>
                <w:sz w:val="14"/>
                <w:szCs w:val="14"/>
              </w:rPr>
            </w:pPr>
            <w:bookmarkStart w:id="6" w:name="sg"/>
            <w:bookmarkEnd w:id="6"/>
            <w:r w:rsidRPr="00C43D6A">
              <w:rPr>
                <w:rFonts w:asciiTheme="minorHAnsi" w:hAnsiTheme="minorHAnsi" w:cstheme="minorHAnsi"/>
                <w:sz w:val="14"/>
                <w:szCs w:val="14"/>
              </w:rPr>
              <w:t>Naturschutz Gartenkultur Landespflege</w:t>
            </w:r>
          </w:p>
          <w:p w:rsidR="0028573D" w:rsidRPr="00C43D6A" w:rsidRDefault="0028573D" w:rsidP="00EB658C">
            <w:pPr>
              <w:rPr>
                <w:rFonts w:asciiTheme="minorHAnsi" w:hAnsiTheme="minorHAnsi" w:cstheme="minorHAnsi"/>
                <w:sz w:val="14"/>
                <w:szCs w:val="14"/>
              </w:rPr>
            </w:pPr>
          </w:p>
          <w:p w:rsidR="0028573D" w:rsidRPr="00C43D6A" w:rsidRDefault="007B6681" w:rsidP="00EB658C">
            <w:pPr>
              <w:rPr>
                <w:rFonts w:asciiTheme="minorHAnsi" w:hAnsiTheme="minorHAnsi" w:cstheme="minorHAnsi"/>
                <w:sz w:val="14"/>
                <w:szCs w:val="14"/>
              </w:rPr>
            </w:pPr>
            <w:r w:rsidRPr="00C43D6A">
              <w:rPr>
                <w:rFonts w:asciiTheme="minorHAnsi" w:hAnsiTheme="minorHAnsi" w:cstheme="minorHAnsi"/>
                <w:sz w:val="14"/>
                <w:szCs w:val="14"/>
              </w:rPr>
              <w:t xml:space="preserve">Aktenzeichen: </w:t>
            </w:r>
            <w:r w:rsidRPr="00C43D6A">
              <w:rPr>
                <w:rFonts w:asciiTheme="minorHAnsi" w:hAnsiTheme="minorHAnsi" w:cstheme="minorHAnsi"/>
                <w:sz w:val="14"/>
                <w:szCs w:val="14"/>
              </w:rPr>
              <w:tab/>
            </w:r>
            <w:r w:rsidR="007C2130" w:rsidRPr="00C43D6A">
              <w:rPr>
                <w:rFonts w:asciiTheme="minorHAnsi" w:hAnsiTheme="minorHAnsi" w:cstheme="minorHAnsi"/>
                <w:sz w:val="14"/>
                <w:szCs w:val="14"/>
              </w:rPr>
              <w:t>A1700259</w:t>
            </w:r>
          </w:p>
          <w:p w:rsidR="0028573D" w:rsidRPr="00C43D6A" w:rsidRDefault="0028573D" w:rsidP="00EB658C">
            <w:pPr>
              <w:rPr>
                <w:rFonts w:asciiTheme="minorHAnsi" w:hAnsiTheme="minorHAnsi" w:cstheme="minorHAnsi"/>
                <w:sz w:val="14"/>
                <w:szCs w:val="14"/>
              </w:rPr>
            </w:pPr>
          </w:p>
          <w:p w:rsidR="0028573D" w:rsidRPr="00C43D6A" w:rsidRDefault="0028573D" w:rsidP="00EB658C">
            <w:pPr>
              <w:rPr>
                <w:rFonts w:asciiTheme="minorHAnsi" w:hAnsiTheme="minorHAnsi" w:cstheme="minorHAnsi"/>
                <w:sz w:val="14"/>
                <w:szCs w:val="14"/>
              </w:rPr>
            </w:pPr>
            <w:r w:rsidRPr="00C43D6A">
              <w:rPr>
                <w:rFonts w:asciiTheme="minorHAnsi" w:hAnsiTheme="minorHAnsi" w:cstheme="minorHAnsi"/>
                <w:sz w:val="14"/>
                <w:szCs w:val="14"/>
              </w:rPr>
              <w:t xml:space="preserve">Ansprechpartner: </w:t>
            </w:r>
            <w:r w:rsidRPr="00C43D6A">
              <w:rPr>
                <w:rFonts w:asciiTheme="minorHAnsi" w:hAnsiTheme="minorHAnsi" w:cstheme="minorHAnsi"/>
                <w:sz w:val="14"/>
                <w:szCs w:val="14"/>
              </w:rPr>
              <w:tab/>
            </w:r>
            <w:r w:rsidR="005E67D5" w:rsidRPr="00C43D6A">
              <w:rPr>
                <w:rFonts w:asciiTheme="minorHAnsi" w:hAnsiTheme="minorHAnsi" w:cstheme="minorHAnsi"/>
                <w:sz w:val="14"/>
                <w:szCs w:val="14"/>
              </w:rPr>
              <w:t>Andreas Ufer</w:t>
            </w:r>
          </w:p>
          <w:p w:rsidR="0028573D" w:rsidRPr="00C43D6A" w:rsidRDefault="0028573D" w:rsidP="00EB658C">
            <w:pPr>
              <w:rPr>
                <w:rFonts w:asciiTheme="minorHAnsi" w:hAnsiTheme="minorHAnsi" w:cstheme="minorHAnsi"/>
                <w:sz w:val="14"/>
                <w:szCs w:val="14"/>
              </w:rPr>
            </w:pPr>
            <w:r w:rsidRPr="00C43D6A">
              <w:rPr>
                <w:rFonts w:asciiTheme="minorHAnsi" w:hAnsiTheme="minorHAnsi" w:cstheme="minorHAnsi"/>
                <w:sz w:val="14"/>
                <w:szCs w:val="14"/>
              </w:rPr>
              <w:t xml:space="preserve">Zimmer: </w:t>
            </w:r>
            <w:r w:rsidRPr="00C43D6A">
              <w:rPr>
                <w:rFonts w:asciiTheme="minorHAnsi" w:hAnsiTheme="minorHAnsi" w:cstheme="minorHAnsi"/>
                <w:sz w:val="14"/>
                <w:szCs w:val="14"/>
              </w:rPr>
              <w:tab/>
              <w:t>243</w:t>
            </w:r>
          </w:p>
          <w:p w:rsidR="0028573D" w:rsidRPr="00C43D6A" w:rsidRDefault="0028573D" w:rsidP="00EB658C">
            <w:pPr>
              <w:rPr>
                <w:rFonts w:asciiTheme="minorHAnsi" w:hAnsiTheme="minorHAnsi" w:cstheme="minorHAnsi"/>
                <w:sz w:val="14"/>
                <w:szCs w:val="14"/>
              </w:rPr>
            </w:pPr>
            <w:r w:rsidRPr="00C43D6A">
              <w:rPr>
                <w:rFonts w:asciiTheme="minorHAnsi" w:hAnsiTheme="minorHAnsi" w:cstheme="minorHAnsi"/>
                <w:sz w:val="14"/>
                <w:szCs w:val="14"/>
              </w:rPr>
              <w:t>Telefon:</w:t>
            </w:r>
            <w:r w:rsidRPr="00C43D6A">
              <w:rPr>
                <w:rFonts w:asciiTheme="minorHAnsi" w:hAnsiTheme="minorHAnsi" w:cstheme="minorHAnsi"/>
                <w:sz w:val="14"/>
                <w:szCs w:val="14"/>
              </w:rPr>
              <w:tab/>
              <w:t>08251 92-144</w:t>
            </w:r>
          </w:p>
          <w:p w:rsidR="0028573D" w:rsidRPr="00C43D6A" w:rsidRDefault="0028573D" w:rsidP="00EB658C">
            <w:pPr>
              <w:rPr>
                <w:rFonts w:asciiTheme="minorHAnsi" w:hAnsiTheme="minorHAnsi" w:cstheme="minorHAnsi"/>
                <w:sz w:val="14"/>
                <w:szCs w:val="14"/>
              </w:rPr>
            </w:pPr>
            <w:r w:rsidRPr="00C43D6A">
              <w:rPr>
                <w:rFonts w:asciiTheme="minorHAnsi" w:hAnsiTheme="minorHAnsi" w:cstheme="minorHAnsi"/>
                <w:sz w:val="14"/>
                <w:szCs w:val="14"/>
              </w:rPr>
              <w:t>Telefax:</w:t>
            </w:r>
            <w:r w:rsidRPr="00C43D6A">
              <w:rPr>
                <w:rFonts w:asciiTheme="minorHAnsi" w:hAnsiTheme="minorHAnsi" w:cstheme="minorHAnsi"/>
                <w:sz w:val="14"/>
                <w:szCs w:val="14"/>
              </w:rPr>
              <w:tab/>
              <w:t>08251 92-480-144</w:t>
            </w:r>
          </w:p>
          <w:p w:rsidR="001D669B" w:rsidRPr="00C43D6A" w:rsidRDefault="0028573D" w:rsidP="00EB658C">
            <w:pPr>
              <w:rPr>
                <w:rFonts w:asciiTheme="minorHAnsi" w:hAnsiTheme="minorHAnsi" w:cstheme="minorHAnsi"/>
              </w:rPr>
            </w:pPr>
            <w:r w:rsidRPr="00C43D6A">
              <w:rPr>
                <w:rFonts w:asciiTheme="minorHAnsi" w:hAnsiTheme="minorHAnsi" w:cstheme="minorHAnsi"/>
                <w:sz w:val="14"/>
                <w:szCs w:val="14"/>
              </w:rPr>
              <w:t>E-Mail:</w:t>
            </w:r>
            <w:r w:rsidRPr="00C43D6A">
              <w:rPr>
                <w:rFonts w:asciiTheme="minorHAnsi" w:hAnsiTheme="minorHAnsi" w:cstheme="minorHAnsi"/>
                <w:sz w:val="14"/>
                <w:szCs w:val="14"/>
              </w:rPr>
              <w:tab/>
            </w:r>
            <w:r w:rsidR="005E67D5" w:rsidRPr="00C43D6A">
              <w:rPr>
                <w:rFonts w:asciiTheme="minorHAnsi" w:hAnsiTheme="minorHAnsi" w:cstheme="minorHAnsi"/>
                <w:sz w:val="14"/>
                <w:szCs w:val="14"/>
              </w:rPr>
              <w:t>andreas.ufer</w:t>
            </w:r>
            <w:r w:rsidR="001D669B" w:rsidRPr="00C43D6A">
              <w:rPr>
                <w:rFonts w:asciiTheme="minorHAnsi" w:hAnsiTheme="minorHAnsi" w:cstheme="minorHAnsi"/>
                <w:sz w:val="14"/>
                <w:szCs w:val="14"/>
              </w:rPr>
              <w:t>@lra-aic-fdb.de</w:t>
            </w:r>
          </w:p>
          <w:p w:rsidR="001D669B" w:rsidRPr="00C43D6A" w:rsidRDefault="001D669B" w:rsidP="00EB658C">
            <w:pPr>
              <w:rPr>
                <w:rFonts w:asciiTheme="minorHAnsi" w:hAnsiTheme="minorHAnsi" w:cstheme="minorHAnsi"/>
                <w:sz w:val="14"/>
                <w:szCs w:val="14"/>
              </w:rPr>
            </w:pPr>
          </w:p>
          <w:p w:rsidR="001D669B" w:rsidRPr="00C43D6A" w:rsidRDefault="001D669B" w:rsidP="00EB658C">
            <w:pPr>
              <w:rPr>
                <w:rFonts w:asciiTheme="minorHAnsi" w:hAnsiTheme="minorHAnsi" w:cstheme="minorHAnsi"/>
                <w:sz w:val="14"/>
                <w:lang w:val="en-US"/>
              </w:rPr>
            </w:pPr>
            <w:r w:rsidRPr="00C43D6A">
              <w:rPr>
                <w:rFonts w:asciiTheme="minorHAnsi" w:hAnsiTheme="minorHAnsi" w:cstheme="minorHAnsi"/>
                <w:sz w:val="14"/>
                <w:szCs w:val="14"/>
                <w:lang w:val="en-US"/>
              </w:rPr>
              <w:t xml:space="preserve">Website: </w:t>
            </w:r>
            <w:r w:rsidRPr="00C43D6A">
              <w:rPr>
                <w:rFonts w:asciiTheme="minorHAnsi" w:hAnsiTheme="minorHAnsi" w:cstheme="minorHAnsi"/>
                <w:sz w:val="14"/>
                <w:szCs w:val="14"/>
                <w:lang w:val="en-US"/>
              </w:rPr>
              <w:tab/>
            </w:r>
            <w:r w:rsidRPr="00C43D6A">
              <w:rPr>
                <w:rFonts w:asciiTheme="minorHAnsi" w:hAnsiTheme="minorHAnsi" w:cstheme="minorHAnsi"/>
                <w:sz w:val="14"/>
                <w:lang w:val="en-US"/>
              </w:rPr>
              <w:t>www.lra-aic-fdb.de</w:t>
            </w:r>
          </w:p>
        </w:tc>
      </w:tr>
      <w:tr w:rsidR="001D669B" w:rsidRPr="00C43D6A" w:rsidTr="001D669B">
        <w:tc>
          <w:tcPr>
            <w:tcW w:w="6578" w:type="dxa"/>
            <w:vMerge/>
          </w:tcPr>
          <w:p w:rsidR="001D669B" w:rsidRPr="00C43D6A" w:rsidRDefault="001D669B" w:rsidP="00EB658C">
            <w:pPr>
              <w:rPr>
                <w:rFonts w:asciiTheme="minorHAnsi" w:hAnsiTheme="minorHAnsi" w:cstheme="minorHAnsi"/>
                <w:lang w:val="en-US"/>
              </w:rPr>
            </w:pPr>
          </w:p>
        </w:tc>
        <w:tc>
          <w:tcPr>
            <w:tcW w:w="3203" w:type="dxa"/>
            <w:tcBorders>
              <w:right w:val="nil"/>
            </w:tcBorders>
          </w:tcPr>
          <w:p w:rsidR="001D669B" w:rsidRPr="00C43D6A" w:rsidRDefault="001D669B" w:rsidP="00EB658C">
            <w:pPr>
              <w:rPr>
                <w:rFonts w:asciiTheme="minorHAnsi" w:hAnsiTheme="minorHAnsi" w:cstheme="minorHAnsi"/>
                <w:szCs w:val="22"/>
              </w:rPr>
            </w:pPr>
            <w:r w:rsidRPr="00C43D6A">
              <w:rPr>
                <w:rFonts w:asciiTheme="minorHAnsi" w:hAnsiTheme="minorHAnsi" w:cstheme="minorHAnsi"/>
              </w:rPr>
              <w:t xml:space="preserve">Aichach, </w:t>
            </w:r>
            <w:bookmarkStart w:id="7" w:name="datum"/>
            <w:bookmarkEnd w:id="7"/>
            <w:r w:rsidR="007C2130" w:rsidRPr="00C43D6A">
              <w:rPr>
                <w:rFonts w:asciiTheme="minorHAnsi" w:hAnsiTheme="minorHAnsi" w:cstheme="minorHAnsi"/>
              </w:rPr>
              <w:t>17</w:t>
            </w:r>
            <w:r w:rsidR="0068569F" w:rsidRPr="00C43D6A">
              <w:rPr>
                <w:rFonts w:asciiTheme="minorHAnsi" w:hAnsiTheme="minorHAnsi" w:cstheme="minorHAnsi"/>
              </w:rPr>
              <w:t xml:space="preserve">. </w:t>
            </w:r>
            <w:r w:rsidR="007C2130" w:rsidRPr="00C43D6A">
              <w:rPr>
                <w:rFonts w:asciiTheme="minorHAnsi" w:hAnsiTheme="minorHAnsi" w:cstheme="minorHAnsi"/>
              </w:rPr>
              <w:t xml:space="preserve">März </w:t>
            </w:r>
            <w:r w:rsidR="0068569F" w:rsidRPr="00C43D6A">
              <w:rPr>
                <w:rFonts w:asciiTheme="minorHAnsi" w:hAnsiTheme="minorHAnsi" w:cstheme="minorHAnsi"/>
              </w:rPr>
              <w:t>202</w:t>
            </w:r>
            <w:r w:rsidR="007C2130" w:rsidRPr="00C43D6A">
              <w:rPr>
                <w:rFonts w:asciiTheme="minorHAnsi" w:hAnsiTheme="minorHAnsi" w:cstheme="minorHAnsi"/>
              </w:rPr>
              <w:t>3</w:t>
            </w:r>
          </w:p>
        </w:tc>
      </w:tr>
    </w:tbl>
    <w:p w:rsidR="005048FF" w:rsidRPr="00C43D6A" w:rsidRDefault="005048FF" w:rsidP="00EB658C">
      <w:pPr>
        <w:rPr>
          <w:rFonts w:asciiTheme="minorHAnsi" w:hAnsiTheme="minorHAnsi" w:cstheme="minorHAnsi"/>
        </w:rPr>
      </w:pPr>
      <w:bookmarkStart w:id="8" w:name="betreff"/>
      <w:bookmarkEnd w:id="8"/>
    </w:p>
    <w:p w:rsidR="00F3650F" w:rsidRPr="00C43D6A" w:rsidRDefault="0068569F" w:rsidP="00EB658C">
      <w:pPr>
        <w:rPr>
          <w:rFonts w:asciiTheme="minorHAnsi" w:hAnsiTheme="minorHAnsi" w:cstheme="minorHAnsi"/>
          <w:b/>
          <w:szCs w:val="22"/>
        </w:rPr>
      </w:pPr>
      <w:r w:rsidRPr="00C43D6A">
        <w:rPr>
          <w:rFonts w:asciiTheme="minorHAnsi" w:hAnsiTheme="minorHAnsi" w:cstheme="minorHAnsi"/>
          <w:b/>
          <w:szCs w:val="22"/>
        </w:rPr>
        <w:t>Vorhaben:</w:t>
      </w:r>
      <w:r w:rsidRPr="00C43D6A">
        <w:rPr>
          <w:rFonts w:asciiTheme="minorHAnsi" w:hAnsiTheme="minorHAnsi" w:cstheme="minorHAnsi"/>
          <w:b/>
          <w:szCs w:val="22"/>
        </w:rPr>
        <w:tab/>
      </w:r>
      <w:r w:rsidR="00EB658C" w:rsidRPr="00C43D6A">
        <w:rPr>
          <w:rFonts w:asciiTheme="minorHAnsi" w:hAnsiTheme="minorHAnsi" w:cstheme="minorHAnsi"/>
          <w:b/>
          <w:szCs w:val="22"/>
        </w:rPr>
        <w:tab/>
      </w:r>
      <w:r w:rsidR="007C2130" w:rsidRPr="00C43D6A">
        <w:rPr>
          <w:rFonts w:asciiTheme="minorHAnsi" w:hAnsiTheme="minorHAnsi" w:cstheme="minorHAnsi"/>
          <w:b/>
          <w:szCs w:val="22"/>
        </w:rPr>
        <w:t>Kies-/sandabbau und Erdauffüllung</w:t>
      </w:r>
    </w:p>
    <w:p w:rsidR="00F3650F" w:rsidRPr="00C43D6A" w:rsidRDefault="00F3650F" w:rsidP="00EB658C">
      <w:pPr>
        <w:rPr>
          <w:rFonts w:asciiTheme="minorHAnsi" w:hAnsiTheme="minorHAnsi" w:cstheme="minorHAnsi"/>
          <w:b/>
          <w:szCs w:val="22"/>
        </w:rPr>
      </w:pPr>
      <w:r w:rsidRPr="00C43D6A">
        <w:rPr>
          <w:rFonts w:asciiTheme="minorHAnsi" w:hAnsiTheme="minorHAnsi" w:cstheme="minorHAnsi"/>
          <w:b/>
          <w:szCs w:val="22"/>
        </w:rPr>
        <w:t>Ort:</w:t>
      </w:r>
      <w:r w:rsidRPr="00C43D6A">
        <w:rPr>
          <w:rFonts w:asciiTheme="minorHAnsi" w:hAnsiTheme="minorHAnsi" w:cstheme="minorHAnsi"/>
          <w:b/>
          <w:szCs w:val="22"/>
        </w:rPr>
        <w:tab/>
      </w:r>
      <w:r w:rsidRPr="00C43D6A">
        <w:rPr>
          <w:rFonts w:asciiTheme="minorHAnsi" w:hAnsiTheme="minorHAnsi" w:cstheme="minorHAnsi"/>
          <w:b/>
          <w:szCs w:val="22"/>
        </w:rPr>
        <w:tab/>
      </w:r>
      <w:r w:rsidRPr="00C43D6A">
        <w:rPr>
          <w:rFonts w:asciiTheme="minorHAnsi" w:hAnsiTheme="minorHAnsi" w:cstheme="minorHAnsi"/>
          <w:b/>
          <w:szCs w:val="22"/>
        </w:rPr>
        <w:tab/>
      </w:r>
      <w:r w:rsidR="007C2130" w:rsidRPr="00C43D6A">
        <w:rPr>
          <w:rFonts w:asciiTheme="minorHAnsi" w:hAnsiTheme="minorHAnsi" w:cstheme="minorHAnsi"/>
          <w:b/>
          <w:szCs w:val="22"/>
        </w:rPr>
        <w:t>Gemarkung Pöttmes, Flnr. 2040, 2041</w:t>
      </w:r>
    </w:p>
    <w:p w:rsidR="007C2130" w:rsidRPr="00C43D6A" w:rsidRDefault="00F3650F" w:rsidP="00EB658C">
      <w:pPr>
        <w:rPr>
          <w:rFonts w:asciiTheme="minorHAnsi" w:hAnsiTheme="minorHAnsi" w:cstheme="minorHAnsi"/>
          <w:b/>
          <w:szCs w:val="22"/>
        </w:rPr>
      </w:pPr>
      <w:r w:rsidRPr="00C43D6A">
        <w:rPr>
          <w:rFonts w:asciiTheme="minorHAnsi" w:hAnsiTheme="minorHAnsi" w:cstheme="minorHAnsi"/>
          <w:b/>
          <w:szCs w:val="22"/>
        </w:rPr>
        <w:t>Antragsteller:</w:t>
      </w:r>
      <w:r w:rsidRPr="00C43D6A">
        <w:rPr>
          <w:rFonts w:asciiTheme="minorHAnsi" w:hAnsiTheme="minorHAnsi" w:cstheme="minorHAnsi"/>
          <w:b/>
          <w:szCs w:val="22"/>
        </w:rPr>
        <w:tab/>
      </w:r>
      <w:r w:rsidR="00C43D6A">
        <w:rPr>
          <w:rFonts w:asciiTheme="minorHAnsi" w:hAnsiTheme="minorHAnsi" w:cstheme="minorHAnsi"/>
          <w:b/>
          <w:szCs w:val="22"/>
        </w:rPr>
        <w:tab/>
      </w:r>
      <w:r w:rsidR="007C2130" w:rsidRPr="00C43D6A">
        <w:rPr>
          <w:rFonts w:asciiTheme="minorHAnsi" w:hAnsiTheme="minorHAnsi" w:cstheme="minorHAnsi"/>
          <w:b/>
          <w:szCs w:val="22"/>
        </w:rPr>
        <w:t>Richard Schulz Tiefbau GmbH &amp; Co. KG</w:t>
      </w:r>
    </w:p>
    <w:p w:rsidR="00F3650F" w:rsidRPr="00C43D6A" w:rsidRDefault="007C2130" w:rsidP="00EB658C">
      <w:pPr>
        <w:rPr>
          <w:rFonts w:asciiTheme="minorHAnsi" w:eastAsiaTheme="minorHAnsi" w:hAnsiTheme="minorHAnsi" w:cstheme="minorHAnsi"/>
          <w:b/>
          <w:color w:val="000000"/>
          <w:spacing w:val="-2"/>
          <w:szCs w:val="22"/>
          <w:lang w:eastAsia="en-US"/>
        </w:rPr>
      </w:pPr>
      <w:r w:rsidRPr="00C43D6A">
        <w:rPr>
          <w:rFonts w:asciiTheme="minorHAnsi" w:hAnsiTheme="minorHAnsi" w:cstheme="minorHAnsi"/>
          <w:b/>
          <w:szCs w:val="22"/>
        </w:rPr>
        <w:tab/>
      </w:r>
      <w:r w:rsidRPr="00C43D6A">
        <w:rPr>
          <w:rFonts w:asciiTheme="minorHAnsi" w:hAnsiTheme="minorHAnsi" w:cstheme="minorHAnsi"/>
          <w:b/>
          <w:szCs w:val="22"/>
        </w:rPr>
        <w:tab/>
      </w:r>
      <w:r w:rsidRPr="00C43D6A">
        <w:rPr>
          <w:rFonts w:asciiTheme="minorHAnsi" w:hAnsiTheme="minorHAnsi" w:cstheme="minorHAnsi"/>
          <w:b/>
          <w:szCs w:val="22"/>
        </w:rPr>
        <w:tab/>
        <w:t>Beethovenstr. 4, 86633 Neuburg a.d. Donau</w:t>
      </w:r>
      <w:r w:rsidR="00F3650F" w:rsidRPr="00C43D6A">
        <w:rPr>
          <w:rFonts w:asciiTheme="minorHAnsi" w:hAnsiTheme="minorHAnsi" w:cstheme="minorHAnsi"/>
          <w:b/>
          <w:szCs w:val="22"/>
        </w:rPr>
        <w:tab/>
      </w:r>
    </w:p>
    <w:p w:rsidR="0068569F" w:rsidRPr="00C43D6A" w:rsidRDefault="000950CF" w:rsidP="00EB658C">
      <w:pPr>
        <w:rPr>
          <w:rFonts w:asciiTheme="minorHAnsi" w:hAnsiTheme="minorHAnsi" w:cstheme="minorHAnsi"/>
          <w:b/>
          <w:szCs w:val="22"/>
        </w:rPr>
      </w:pPr>
      <w:r w:rsidRPr="00C43D6A">
        <w:rPr>
          <w:rFonts w:asciiTheme="minorHAnsi" w:hAnsiTheme="minorHAnsi" w:cstheme="minorHAnsi"/>
          <w:b/>
          <w:szCs w:val="22"/>
        </w:rPr>
        <w:t>Ihr AZ:</w:t>
      </w:r>
      <w:r w:rsidRPr="00C43D6A">
        <w:rPr>
          <w:rFonts w:asciiTheme="minorHAnsi" w:hAnsiTheme="minorHAnsi" w:cstheme="minorHAnsi"/>
          <w:b/>
          <w:szCs w:val="22"/>
        </w:rPr>
        <w:tab/>
      </w:r>
      <w:r w:rsidR="00EB658C" w:rsidRPr="00C43D6A">
        <w:rPr>
          <w:rFonts w:asciiTheme="minorHAnsi" w:hAnsiTheme="minorHAnsi" w:cstheme="minorHAnsi"/>
          <w:b/>
          <w:szCs w:val="22"/>
        </w:rPr>
        <w:tab/>
      </w:r>
      <w:r w:rsidR="00C43D6A">
        <w:rPr>
          <w:rFonts w:asciiTheme="minorHAnsi" w:hAnsiTheme="minorHAnsi" w:cstheme="minorHAnsi"/>
          <w:b/>
          <w:szCs w:val="22"/>
        </w:rPr>
        <w:tab/>
      </w:r>
      <w:r w:rsidR="007C2130" w:rsidRPr="00C43D6A">
        <w:rPr>
          <w:rFonts w:asciiTheme="minorHAnsi" w:hAnsiTheme="minorHAnsi" w:cstheme="minorHAnsi"/>
          <w:b/>
          <w:szCs w:val="22"/>
        </w:rPr>
        <w:t>A1700259</w:t>
      </w:r>
      <w:r w:rsidR="0068569F" w:rsidRPr="00C43D6A">
        <w:rPr>
          <w:rFonts w:asciiTheme="minorHAnsi" w:hAnsiTheme="minorHAnsi" w:cstheme="minorHAnsi"/>
          <w:b/>
          <w:szCs w:val="22"/>
        </w:rPr>
        <w:tab/>
      </w:r>
      <w:r w:rsidR="0068569F" w:rsidRPr="00C43D6A">
        <w:rPr>
          <w:rFonts w:asciiTheme="minorHAnsi" w:hAnsiTheme="minorHAnsi" w:cstheme="minorHAnsi"/>
          <w:b/>
          <w:szCs w:val="22"/>
        </w:rPr>
        <w:tab/>
      </w:r>
      <w:r w:rsidR="0068569F" w:rsidRPr="00C43D6A">
        <w:rPr>
          <w:rFonts w:asciiTheme="minorHAnsi" w:hAnsiTheme="minorHAnsi" w:cstheme="minorHAnsi"/>
          <w:b/>
          <w:szCs w:val="22"/>
        </w:rPr>
        <w:tab/>
      </w:r>
      <w:r w:rsidR="0068569F" w:rsidRPr="00C43D6A">
        <w:rPr>
          <w:rFonts w:asciiTheme="minorHAnsi" w:hAnsiTheme="minorHAnsi" w:cstheme="minorHAnsi"/>
          <w:b/>
          <w:szCs w:val="22"/>
        </w:rPr>
        <w:tab/>
      </w:r>
    </w:p>
    <w:p w:rsidR="0068569F" w:rsidRPr="00C43D6A" w:rsidRDefault="00B53808" w:rsidP="00EB658C">
      <w:pPr>
        <w:rPr>
          <w:rFonts w:asciiTheme="minorHAnsi" w:hAnsiTheme="minorHAnsi" w:cstheme="minorHAnsi"/>
          <w:b/>
          <w:szCs w:val="22"/>
        </w:rPr>
      </w:pPr>
      <w:r w:rsidRPr="00C43D6A">
        <w:rPr>
          <w:rFonts w:asciiTheme="minorHAnsi" w:hAnsiTheme="minorHAnsi" w:cstheme="minorHAnsi"/>
          <w:b/>
          <w:szCs w:val="22"/>
        </w:rPr>
        <w:t>Anlage:</w:t>
      </w:r>
      <w:r w:rsidRPr="00C43D6A">
        <w:rPr>
          <w:rFonts w:asciiTheme="minorHAnsi" w:hAnsiTheme="minorHAnsi" w:cstheme="minorHAnsi"/>
          <w:b/>
          <w:szCs w:val="22"/>
        </w:rPr>
        <w:tab/>
      </w:r>
      <w:r w:rsidRPr="00C43D6A">
        <w:rPr>
          <w:rFonts w:asciiTheme="minorHAnsi" w:hAnsiTheme="minorHAnsi" w:cstheme="minorHAnsi"/>
          <w:b/>
          <w:szCs w:val="22"/>
        </w:rPr>
        <w:tab/>
      </w:r>
      <w:r w:rsidR="00C43D6A">
        <w:rPr>
          <w:rFonts w:asciiTheme="minorHAnsi" w:hAnsiTheme="minorHAnsi" w:cstheme="minorHAnsi"/>
          <w:b/>
          <w:szCs w:val="22"/>
        </w:rPr>
        <w:tab/>
      </w:r>
      <w:r w:rsidR="006A5577" w:rsidRPr="00C43D6A">
        <w:rPr>
          <w:rFonts w:asciiTheme="minorHAnsi" w:hAnsiTheme="minorHAnsi" w:cstheme="minorHAnsi"/>
          <w:b/>
          <w:szCs w:val="22"/>
        </w:rPr>
        <w:t>digitale Planunterlagen</w:t>
      </w:r>
    </w:p>
    <w:p w:rsidR="0068569F" w:rsidRPr="00C43D6A" w:rsidRDefault="0068569F" w:rsidP="00EB658C">
      <w:pPr>
        <w:rPr>
          <w:rFonts w:asciiTheme="minorHAnsi" w:hAnsiTheme="minorHAnsi" w:cstheme="minorHAnsi"/>
          <w:b/>
          <w:szCs w:val="22"/>
        </w:rPr>
      </w:pPr>
    </w:p>
    <w:p w:rsidR="00EB658C" w:rsidRPr="00C43D6A" w:rsidRDefault="00EB658C" w:rsidP="00EB658C">
      <w:pPr>
        <w:rPr>
          <w:rFonts w:asciiTheme="minorHAnsi" w:hAnsiTheme="minorHAnsi" w:cstheme="minorHAnsi"/>
          <w:szCs w:val="22"/>
        </w:rPr>
      </w:pPr>
    </w:p>
    <w:p w:rsidR="00EB658C" w:rsidRPr="00C43D6A" w:rsidRDefault="00EB658C" w:rsidP="00EB658C">
      <w:pPr>
        <w:rPr>
          <w:rFonts w:asciiTheme="minorHAnsi" w:hAnsiTheme="minorHAnsi" w:cstheme="minorHAnsi"/>
          <w:szCs w:val="22"/>
        </w:rPr>
      </w:pPr>
    </w:p>
    <w:p w:rsidR="00431685" w:rsidRPr="00C43D6A" w:rsidRDefault="0068569F" w:rsidP="0058752A">
      <w:pPr>
        <w:jc w:val="both"/>
        <w:rPr>
          <w:rFonts w:asciiTheme="minorHAnsi" w:eastAsiaTheme="minorHAnsi" w:hAnsiTheme="minorHAnsi" w:cstheme="minorHAnsi"/>
          <w:color w:val="000000"/>
          <w:spacing w:val="-2"/>
          <w:lang w:eastAsia="en-US"/>
        </w:rPr>
      </w:pPr>
      <w:r w:rsidRPr="00C43D6A">
        <w:rPr>
          <w:rFonts w:asciiTheme="minorHAnsi" w:hAnsiTheme="minorHAnsi" w:cstheme="minorHAnsi"/>
        </w:rPr>
        <w:t>Sehr geehrte Frau</w:t>
      </w:r>
      <w:r w:rsidR="002A645E" w:rsidRPr="00C43D6A">
        <w:rPr>
          <w:rFonts w:asciiTheme="minorHAnsi" w:hAnsiTheme="minorHAnsi" w:cstheme="minorHAnsi"/>
        </w:rPr>
        <w:t xml:space="preserve"> </w:t>
      </w:r>
      <w:r w:rsidR="00AA3A1E">
        <w:rPr>
          <w:rFonts w:asciiTheme="minorHAnsi" w:hAnsiTheme="minorHAnsi" w:cstheme="minorHAnsi"/>
        </w:rPr>
        <w:t>Hohenbichler</w:t>
      </w:r>
      <w:r w:rsidR="002A645E" w:rsidRPr="00C43D6A">
        <w:rPr>
          <w:rFonts w:asciiTheme="minorHAnsi" w:hAnsiTheme="minorHAnsi" w:cstheme="minorHAnsi"/>
        </w:rPr>
        <w:t>,</w:t>
      </w:r>
    </w:p>
    <w:p w:rsidR="00431685" w:rsidRPr="00C43D6A" w:rsidRDefault="00431685" w:rsidP="0058752A">
      <w:pPr>
        <w:jc w:val="both"/>
        <w:rPr>
          <w:rFonts w:asciiTheme="minorHAnsi" w:eastAsiaTheme="minorHAnsi" w:hAnsiTheme="minorHAnsi" w:cstheme="minorHAnsi"/>
          <w:color w:val="000000"/>
          <w:spacing w:val="-2"/>
          <w:lang w:eastAsia="en-US"/>
        </w:rPr>
      </w:pPr>
    </w:p>
    <w:p w:rsidR="007C2130" w:rsidRPr="00C43D6A" w:rsidRDefault="007C2130" w:rsidP="0058752A">
      <w:pPr>
        <w:jc w:val="both"/>
        <w:rPr>
          <w:rFonts w:asciiTheme="minorHAnsi" w:hAnsiTheme="minorHAnsi" w:cstheme="minorHAnsi"/>
        </w:rPr>
      </w:pPr>
      <w:r w:rsidRPr="00C43D6A">
        <w:rPr>
          <w:rFonts w:asciiTheme="minorHAnsi" w:hAnsiTheme="minorHAnsi" w:cstheme="minorHAnsi"/>
        </w:rPr>
        <w:t xml:space="preserve">Zum Vorhaben und zu der Thematik der Quellen wurde sich bereits in vorherigen Stellungnahmen geäußert. Auf die Stellungnahmen vom </w:t>
      </w:r>
      <w:r w:rsidR="00195C10">
        <w:rPr>
          <w:rFonts w:asciiTheme="minorHAnsi" w:hAnsiTheme="minorHAnsi" w:cstheme="minorHAnsi"/>
        </w:rPr>
        <w:t>08.01.2017</w:t>
      </w:r>
      <w:r w:rsidRPr="00C43D6A">
        <w:rPr>
          <w:rFonts w:asciiTheme="minorHAnsi" w:hAnsiTheme="minorHAnsi" w:cstheme="minorHAnsi"/>
        </w:rPr>
        <w:t xml:space="preserve"> und </w:t>
      </w:r>
      <w:r w:rsidR="00195C10" w:rsidRPr="00195C10">
        <w:rPr>
          <w:rFonts w:asciiTheme="minorHAnsi" w:hAnsiTheme="minorHAnsi" w:cstheme="minorHAnsi"/>
        </w:rPr>
        <w:t>01.01.2022</w:t>
      </w:r>
      <w:r w:rsidRPr="00C43D6A">
        <w:rPr>
          <w:rFonts w:asciiTheme="minorHAnsi" w:hAnsiTheme="minorHAnsi" w:cstheme="minorHAnsi"/>
        </w:rPr>
        <w:t xml:space="preserve"> wird verwiesen. </w:t>
      </w:r>
    </w:p>
    <w:p w:rsidR="007C2130" w:rsidRPr="00C43D6A" w:rsidRDefault="007C2130" w:rsidP="0058752A">
      <w:pPr>
        <w:jc w:val="both"/>
        <w:rPr>
          <w:rFonts w:asciiTheme="minorHAnsi" w:hAnsiTheme="minorHAnsi" w:cstheme="minorHAnsi"/>
        </w:rPr>
      </w:pPr>
      <w:r w:rsidRPr="00C43D6A">
        <w:rPr>
          <w:rFonts w:asciiTheme="minorHAnsi" w:hAnsiTheme="minorHAnsi" w:cstheme="minorHAnsi"/>
        </w:rPr>
        <w:t xml:space="preserve">Zu dem o.g. Vorhaben wurde ein Rekultivierungsplan, Maßnahmenplan und Erläuterungsbericht des Planungsbüros Brugger vom Dezember 2022 vorgelegt, die Unterlagen werden im Folgenden als landschaftspflegerischer Begleitplan (LBP) zusammengefasst. Zusätzlich wurde </w:t>
      </w:r>
      <w:r w:rsidR="001C2D0E" w:rsidRPr="00C43D6A">
        <w:rPr>
          <w:rFonts w:asciiTheme="minorHAnsi" w:hAnsiTheme="minorHAnsi" w:cstheme="minorHAnsi"/>
        </w:rPr>
        <w:t>eine spezielle artenschutzrechtliche Prüfung</w:t>
      </w:r>
      <w:r w:rsidRPr="00C43D6A">
        <w:rPr>
          <w:rFonts w:asciiTheme="minorHAnsi" w:hAnsiTheme="minorHAnsi" w:cstheme="minorHAnsi"/>
        </w:rPr>
        <w:t xml:space="preserve"> (saP) und eine Umweltverträglichkeitsprüfung (UVP) vom Büro Landschaftsarchitekt bdla vom Dezember 2022 vorgelegt. </w:t>
      </w:r>
    </w:p>
    <w:p w:rsidR="007C2130" w:rsidRDefault="007C2130" w:rsidP="0058752A">
      <w:pPr>
        <w:jc w:val="both"/>
        <w:rPr>
          <w:rFonts w:asciiTheme="minorHAnsi" w:hAnsiTheme="minorHAnsi" w:cstheme="minorHAnsi"/>
        </w:rPr>
      </w:pPr>
      <w:r w:rsidRPr="00C43D6A">
        <w:rPr>
          <w:rFonts w:asciiTheme="minorHAnsi" w:hAnsiTheme="minorHAnsi" w:cstheme="minorHAnsi"/>
        </w:rPr>
        <w:t xml:space="preserve">Dem Vorhaben kann, vorbehaltlich der Umsetzung der im LBP beschriebenen Rekultivierungs- und Ausgleichsmaßnahmen sowie der artenschutzrechtlichen Vermeidungsmaßnahmen aus der saP zugestimmt werden. </w:t>
      </w:r>
    </w:p>
    <w:p w:rsidR="00724D95" w:rsidRDefault="00572411" w:rsidP="0058752A">
      <w:pPr>
        <w:jc w:val="both"/>
        <w:rPr>
          <w:rFonts w:asciiTheme="minorHAnsi" w:hAnsiTheme="minorHAnsi" w:cstheme="minorHAnsi"/>
        </w:rPr>
      </w:pPr>
      <w:r>
        <w:rPr>
          <w:rFonts w:asciiTheme="minorHAnsi" w:hAnsiTheme="minorHAnsi" w:cstheme="minorHAnsi"/>
        </w:rPr>
        <w:t xml:space="preserve">Den </w:t>
      </w:r>
      <w:r w:rsidR="00B239E5">
        <w:rPr>
          <w:rFonts w:asciiTheme="minorHAnsi" w:hAnsiTheme="minorHAnsi" w:cstheme="minorHAnsi"/>
        </w:rPr>
        <w:t>A</w:t>
      </w:r>
      <w:r>
        <w:rPr>
          <w:rFonts w:asciiTheme="minorHAnsi" w:hAnsiTheme="minorHAnsi" w:cstheme="minorHAnsi"/>
        </w:rPr>
        <w:t>usführungen der UVP hinsichtlich der Schutzgüter Arten, Lebens</w:t>
      </w:r>
      <w:r w:rsidR="000B0779">
        <w:rPr>
          <w:rFonts w:asciiTheme="minorHAnsi" w:hAnsiTheme="minorHAnsi" w:cstheme="minorHAnsi"/>
        </w:rPr>
        <w:t>r</w:t>
      </w:r>
      <w:r>
        <w:rPr>
          <w:rFonts w:asciiTheme="minorHAnsi" w:hAnsiTheme="minorHAnsi" w:cstheme="minorHAnsi"/>
        </w:rPr>
        <w:t xml:space="preserve">äume und Landschaft kann gefolgt werden. </w:t>
      </w:r>
      <w:r w:rsidR="00B9736E">
        <w:rPr>
          <w:rFonts w:asciiTheme="minorHAnsi" w:hAnsiTheme="minorHAnsi" w:cstheme="minorHAnsi"/>
        </w:rPr>
        <w:t xml:space="preserve">Durch die in den o. g. Planunterlagen dargestellten Vermeidungs,- Minimierungs-, und Ausgleichsmaßnahmen </w:t>
      </w:r>
      <w:r w:rsidR="00B239E5">
        <w:rPr>
          <w:rFonts w:asciiTheme="minorHAnsi" w:hAnsiTheme="minorHAnsi" w:cstheme="minorHAnsi"/>
        </w:rPr>
        <w:t>sind keine erheblichen dauerhaften Auswirkungen auf die genannten Schutzgüter zu erwarten. Auswirkungen auf die anderen S</w:t>
      </w:r>
      <w:r w:rsidR="000F3CBE">
        <w:rPr>
          <w:rFonts w:asciiTheme="minorHAnsi" w:hAnsiTheme="minorHAnsi" w:cstheme="minorHAnsi"/>
        </w:rPr>
        <w:t>chutzgüter, insbesondere die</w:t>
      </w:r>
      <w:r w:rsidR="00B239E5">
        <w:rPr>
          <w:rFonts w:asciiTheme="minorHAnsi" w:hAnsiTheme="minorHAnsi" w:cstheme="minorHAnsi"/>
        </w:rPr>
        <w:t xml:space="preserve"> </w:t>
      </w:r>
      <w:r w:rsidR="000F3CBE">
        <w:rPr>
          <w:rFonts w:asciiTheme="minorHAnsi" w:hAnsiTheme="minorHAnsi" w:cstheme="minorHAnsi"/>
        </w:rPr>
        <w:t xml:space="preserve">des </w:t>
      </w:r>
      <w:r w:rsidR="00B239E5">
        <w:rPr>
          <w:rFonts w:asciiTheme="minorHAnsi" w:hAnsiTheme="minorHAnsi" w:cstheme="minorHAnsi"/>
        </w:rPr>
        <w:t>Grundwasser</w:t>
      </w:r>
      <w:r w:rsidR="000F3CBE">
        <w:rPr>
          <w:rFonts w:asciiTheme="minorHAnsi" w:hAnsiTheme="minorHAnsi" w:cstheme="minorHAnsi"/>
        </w:rPr>
        <w:t>s</w:t>
      </w:r>
      <w:r w:rsidR="00B239E5">
        <w:rPr>
          <w:rFonts w:asciiTheme="minorHAnsi" w:hAnsiTheme="minorHAnsi" w:cstheme="minorHAnsi"/>
        </w:rPr>
        <w:t xml:space="preserve">, sind von der jeweils zuständigen Fachbehörde zu beurteilen. </w:t>
      </w:r>
    </w:p>
    <w:p w:rsidR="00B239E5" w:rsidRDefault="00B239E5" w:rsidP="0058752A">
      <w:pPr>
        <w:jc w:val="both"/>
        <w:rPr>
          <w:rFonts w:asciiTheme="minorHAnsi" w:hAnsiTheme="minorHAnsi" w:cstheme="minorHAnsi"/>
        </w:rPr>
      </w:pPr>
    </w:p>
    <w:p w:rsidR="007C2130" w:rsidRPr="00C43D6A" w:rsidRDefault="007C2130" w:rsidP="0058752A">
      <w:pPr>
        <w:jc w:val="both"/>
        <w:rPr>
          <w:rFonts w:asciiTheme="minorHAnsi" w:hAnsiTheme="minorHAnsi" w:cstheme="minorHAnsi"/>
          <w:b/>
        </w:rPr>
      </w:pPr>
      <w:r w:rsidRPr="00C43D6A">
        <w:rPr>
          <w:rFonts w:asciiTheme="minorHAnsi" w:hAnsiTheme="minorHAnsi" w:cstheme="minorHAnsi"/>
          <w:b/>
        </w:rPr>
        <w:t>Eingriffsregelung nach §§ 13 ff. BNatSchG:</w:t>
      </w:r>
    </w:p>
    <w:p w:rsidR="007C2130" w:rsidRPr="00C43D6A" w:rsidRDefault="007C2130" w:rsidP="0058752A">
      <w:pPr>
        <w:jc w:val="both"/>
        <w:rPr>
          <w:rFonts w:asciiTheme="minorHAnsi" w:hAnsiTheme="minorHAnsi" w:cstheme="minorHAnsi"/>
        </w:rPr>
      </w:pPr>
      <w:r w:rsidRPr="00C43D6A">
        <w:rPr>
          <w:rFonts w:asciiTheme="minorHAnsi" w:hAnsiTheme="minorHAnsi" w:cstheme="minorHAnsi"/>
        </w:rPr>
        <w:t xml:space="preserve">Der gem. §14ff BNatSchG erforderliche Ausgleich für Natur und Landschaft soll auf den Flurstücken Nrn. 2040 und 2041 Gemarkung Pöttmes erbracht werden. Als Ausgleichsmaßnahme ist die Herstellung eines standortgerechten Nutzwaldes und eines Rohbodenstandortes mit Lichtungscharakter geplant. </w:t>
      </w:r>
      <w:r w:rsidR="00AA3A1E">
        <w:rPr>
          <w:rFonts w:asciiTheme="minorHAnsi" w:hAnsiTheme="minorHAnsi" w:cstheme="minorHAnsi"/>
        </w:rPr>
        <w:t>Auf den r</w:t>
      </w:r>
      <w:r w:rsidRPr="00C43D6A">
        <w:rPr>
          <w:rFonts w:asciiTheme="minorHAnsi" w:hAnsiTheme="minorHAnsi" w:cstheme="minorHAnsi"/>
        </w:rPr>
        <w:t xml:space="preserve">ekultivierten Waldflächen sind dauerhaft 10 Biotopbäume pro </w:t>
      </w:r>
      <w:r w:rsidR="001C2D0E" w:rsidRPr="00C43D6A">
        <w:rPr>
          <w:rFonts w:asciiTheme="minorHAnsi" w:hAnsiTheme="minorHAnsi" w:cstheme="minorHAnsi"/>
        </w:rPr>
        <w:t>Hektar</w:t>
      </w:r>
      <w:r w:rsidRPr="00C43D6A">
        <w:rPr>
          <w:rFonts w:asciiTheme="minorHAnsi" w:hAnsiTheme="minorHAnsi" w:cstheme="minorHAnsi"/>
        </w:rPr>
        <w:t xml:space="preserve"> und 15 Kubikmeter Totholz pro </w:t>
      </w:r>
      <w:r w:rsidR="001C2D0E" w:rsidRPr="00C43D6A">
        <w:rPr>
          <w:rFonts w:asciiTheme="minorHAnsi" w:hAnsiTheme="minorHAnsi" w:cstheme="minorHAnsi"/>
        </w:rPr>
        <w:t>Hektar</w:t>
      </w:r>
      <w:r w:rsidRPr="00C43D6A">
        <w:rPr>
          <w:rFonts w:asciiTheme="minorHAnsi" w:hAnsiTheme="minorHAnsi" w:cstheme="minorHAnsi"/>
        </w:rPr>
        <w:t xml:space="preserve"> zu fördern und zu erhalten. Die Vorgaben orientieren sich an der guten forstfachlichen Praxis der BaySF und sollen sicherstellen, dass die naturschutzrechtliche Ausgleichsfläche einen </w:t>
      </w:r>
      <w:r w:rsidR="007E48E9">
        <w:rPr>
          <w:rFonts w:asciiTheme="minorHAnsi" w:hAnsiTheme="minorHAnsi" w:cstheme="minorHAnsi"/>
        </w:rPr>
        <w:t>w</w:t>
      </w:r>
      <w:r w:rsidRPr="00C43D6A">
        <w:rPr>
          <w:rFonts w:asciiTheme="minorHAnsi" w:hAnsiTheme="minorHAnsi" w:cstheme="minorHAnsi"/>
        </w:rPr>
        <w:t xml:space="preserve">ertigen Lebensraum darstellt. </w:t>
      </w:r>
      <w:r w:rsidRPr="00B9736E">
        <w:rPr>
          <w:rFonts w:asciiTheme="minorHAnsi" w:hAnsiTheme="minorHAnsi" w:cstheme="minorHAnsi"/>
          <w:u w:val="single"/>
        </w:rPr>
        <w:t>Es wird gebeten die Angaben als Auflagen mit in den Bescheid aufzunehmen.</w:t>
      </w:r>
      <w:r w:rsidRPr="00C43D6A">
        <w:rPr>
          <w:rFonts w:asciiTheme="minorHAnsi" w:hAnsiTheme="minorHAnsi" w:cstheme="minorHAnsi"/>
        </w:rPr>
        <w:t xml:space="preserve"> Die Rohbodenstandorte sind nach Abschluss der Rekultivierung fünf Jahre offen zu halten (Jährliche Mahd im September) und anschließend der natürlichen Sukzession zu überlassen. Es </w:t>
      </w:r>
      <w:r w:rsidRPr="00C43D6A">
        <w:rPr>
          <w:rFonts w:asciiTheme="minorHAnsi" w:hAnsiTheme="minorHAnsi" w:cstheme="minorHAnsi"/>
        </w:rPr>
        <w:lastRenderedPageBreak/>
        <w:t xml:space="preserve">wird darauf hingewiesen, dass es unter Umständen forstrechtliche Konflikte mit </w:t>
      </w:r>
      <w:r w:rsidR="002961E6">
        <w:rPr>
          <w:rFonts w:asciiTheme="minorHAnsi" w:hAnsiTheme="minorHAnsi" w:cstheme="minorHAnsi"/>
        </w:rPr>
        <w:t xml:space="preserve">den </w:t>
      </w:r>
      <w:r w:rsidRPr="00C43D6A">
        <w:rPr>
          <w:rFonts w:asciiTheme="minorHAnsi" w:hAnsiTheme="minorHAnsi" w:cstheme="minorHAnsi"/>
        </w:rPr>
        <w:t xml:space="preserve">offenen Rohbodenstandort geben könnte. Es ist in der Abwägung zu klären ob sich hier naturschutzrechtliche und forstrechtliche Vorgaben gegenseitig aufheben. </w:t>
      </w:r>
    </w:p>
    <w:p w:rsidR="007C2130" w:rsidRPr="00C43D6A" w:rsidRDefault="007C2130" w:rsidP="0058752A">
      <w:pPr>
        <w:jc w:val="both"/>
        <w:rPr>
          <w:rFonts w:asciiTheme="minorHAnsi" w:hAnsiTheme="minorHAnsi" w:cstheme="minorHAnsi"/>
          <w:b/>
        </w:rPr>
      </w:pPr>
    </w:p>
    <w:p w:rsidR="007C2130" w:rsidRPr="00C43D6A" w:rsidRDefault="007E39AC" w:rsidP="0058752A">
      <w:pPr>
        <w:jc w:val="both"/>
        <w:rPr>
          <w:rFonts w:asciiTheme="minorHAnsi" w:hAnsiTheme="minorHAnsi" w:cstheme="minorHAnsi"/>
          <w:b/>
        </w:rPr>
      </w:pPr>
      <w:r>
        <w:rPr>
          <w:rFonts w:asciiTheme="minorHAnsi" w:hAnsiTheme="minorHAnsi" w:cstheme="minorHAnsi"/>
          <w:b/>
        </w:rPr>
        <w:t>Spezielle artenschutzrechtliche Prüfung:</w:t>
      </w:r>
    </w:p>
    <w:p w:rsidR="007C2130" w:rsidRPr="00C43D6A" w:rsidRDefault="007C2130" w:rsidP="0058752A">
      <w:pPr>
        <w:jc w:val="both"/>
        <w:rPr>
          <w:rFonts w:asciiTheme="minorHAnsi" w:hAnsiTheme="minorHAnsi" w:cstheme="minorHAnsi"/>
          <w:u w:val="single"/>
        </w:rPr>
      </w:pPr>
      <w:r w:rsidRPr="00C43D6A">
        <w:rPr>
          <w:rFonts w:asciiTheme="minorHAnsi" w:hAnsiTheme="minorHAnsi" w:cstheme="minorHAnsi"/>
          <w:u w:val="single"/>
        </w:rPr>
        <w:t>Vögel und Fledermäuse:</w:t>
      </w:r>
    </w:p>
    <w:p w:rsidR="007C2130" w:rsidRPr="00C43D6A" w:rsidRDefault="007C2130" w:rsidP="0058752A">
      <w:pPr>
        <w:spacing w:after="240"/>
        <w:jc w:val="both"/>
        <w:rPr>
          <w:rFonts w:asciiTheme="minorHAnsi" w:hAnsiTheme="minorHAnsi" w:cstheme="minorHAnsi"/>
        </w:rPr>
      </w:pPr>
      <w:r w:rsidRPr="00C43D6A">
        <w:rPr>
          <w:rFonts w:asciiTheme="minorHAnsi" w:hAnsiTheme="minorHAnsi" w:cstheme="minorHAnsi"/>
        </w:rPr>
        <w:t xml:space="preserve">Die CEF-Maßnahmen zum Erhalt der Fortpflanzungs- und Ruhestätten von Fledermäusen und Höhlenbrütenden Vögeln sind im landschaftspflegerischen Begleitplan hinsichtlich der Stückzahl nicht hinreichend konkretisiert. Über die Auflagen wird daher die Anzahl der nötigen Vogel- und Fledermauskästen festgelegt. </w:t>
      </w:r>
    </w:p>
    <w:p w:rsidR="007C2130" w:rsidRPr="00C43D6A" w:rsidRDefault="007C2130" w:rsidP="0058752A">
      <w:pPr>
        <w:jc w:val="both"/>
        <w:rPr>
          <w:rFonts w:asciiTheme="minorHAnsi" w:hAnsiTheme="minorHAnsi" w:cstheme="minorHAnsi"/>
          <w:u w:val="single"/>
        </w:rPr>
      </w:pPr>
      <w:r w:rsidRPr="00C43D6A">
        <w:rPr>
          <w:rFonts w:asciiTheme="minorHAnsi" w:hAnsiTheme="minorHAnsi" w:cstheme="minorHAnsi"/>
          <w:u w:val="single"/>
        </w:rPr>
        <w:t xml:space="preserve">Amphibien (Kreuzkröte): </w:t>
      </w:r>
    </w:p>
    <w:p w:rsidR="007C2130" w:rsidRPr="00C43D6A" w:rsidRDefault="007C2130" w:rsidP="0058752A">
      <w:pPr>
        <w:spacing w:after="240"/>
        <w:jc w:val="both"/>
        <w:rPr>
          <w:rFonts w:asciiTheme="minorHAnsi" w:hAnsiTheme="minorHAnsi" w:cstheme="minorHAnsi"/>
        </w:rPr>
      </w:pPr>
      <w:r w:rsidRPr="00C43D6A">
        <w:rPr>
          <w:rFonts w:asciiTheme="minorHAnsi" w:hAnsiTheme="minorHAnsi" w:cstheme="minorHAnsi"/>
        </w:rPr>
        <w:t xml:space="preserve">Beim aktiven Abbaugeschehen ist damit zu rechnen, dass sich die streng geschützte Kreuzkröte in temporären und vegetationsfreien Kleingewässern ansiedeln kann. </w:t>
      </w:r>
      <w:r w:rsidR="00AD3651" w:rsidRPr="00C43D6A">
        <w:rPr>
          <w:rFonts w:asciiTheme="minorHAnsi" w:hAnsiTheme="minorHAnsi" w:cstheme="minorHAnsi"/>
        </w:rPr>
        <w:t xml:space="preserve">Nachweise der Art vom Jahr 2018 sind im näheren Umfeld in der Artenschutzkartierung gemeldet. </w:t>
      </w:r>
      <w:r w:rsidR="00AD3651">
        <w:rPr>
          <w:rFonts w:asciiTheme="minorHAnsi" w:hAnsiTheme="minorHAnsi" w:cstheme="minorHAnsi"/>
        </w:rPr>
        <w:t xml:space="preserve">In diesem Falle sind die Kleinstgewässer nach § 44 Abs. 1 Nr. 3 </w:t>
      </w:r>
      <w:r w:rsidR="00E04B15" w:rsidRPr="00C43D6A">
        <w:rPr>
          <w:rFonts w:asciiTheme="minorHAnsi" w:hAnsiTheme="minorHAnsi" w:cstheme="minorHAnsi"/>
        </w:rPr>
        <w:t xml:space="preserve">BNatSchG </w:t>
      </w:r>
      <w:r w:rsidR="00AD3651">
        <w:rPr>
          <w:rFonts w:asciiTheme="minorHAnsi" w:hAnsiTheme="minorHAnsi" w:cstheme="minorHAnsi"/>
        </w:rPr>
        <w:t xml:space="preserve">geschützt und </w:t>
      </w:r>
      <w:r w:rsidR="00AA3A1E">
        <w:rPr>
          <w:rFonts w:asciiTheme="minorHAnsi" w:hAnsiTheme="minorHAnsi" w:cstheme="minorHAnsi"/>
        </w:rPr>
        <w:t>diese dürfen nicht zerstört oder beschädigt werden</w:t>
      </w:r>
      <w:r w:rsidR="00AD3651">
        <w:rPr>
          <w:rFonts w:asciiTheme="minorHAnsi" w:hAnsiTheme="minorHAnsi" w:cstheme="minorHAnsi"/>
        </w:rPr>
        <w:t xml:space="preserve">. Dies kann unter Umständen dazu führen, dass das Abbaugeschehen in den betroffenen Bereichen stillgelegt werden muss. Um </w:t>
      </w:r>
      <w:r w:rsidR="00AA3A1E">
        <w:rPr>
          <w:rFonts w:asciiTheme="minorHAnsi" w:hAnsiTheme="minorHAnsi" w:cstheme="minorHAnsi"/>
        </w:rPr>
        <w:t xml:space="preserve">diesen </w:t>
      </w:r>
      <w:r w:rsidR="001C2D0E">
        <w:rPr>
          <w:rFonts w:asciiTheme="minorHAnsi" w:hAnsiTheme="minorHAnsi" w:cstheme="minorHAnsi"/>
        </w:rPr>
        <w:t>wahrscheinlich</w:t>
      </w:r>
      <w:r w:rsidR="00AD3651">
        <w:rPr>
          <w:rFonts w:asciiTheme="minorHAnsi" w:hAnsiTheme="minorHAnsi" w:cstheme="minorHAnsi"/>
        </w:rPr>
        <w:t xml:space="preserve"> auftretenden, artenschutzrechtlichen </w:t>
      </w:r>
      <w:r w:rsidR="001C2D0E">
        <w:rPr>
          <w:rFonts w:asciiTheme="minorHAnsi" w:hAnsiTheme="minorHAnsi" w:cstheme="minorHAnsi"/>
        </w:rPr>
        <w:t>Konflikten</w:t>
      </w:r>
      <w:r w:rsidR="00AD3651">
        <w:rPr>
          <w:rFonts w:asciiTheme="minorHAnsi" w:hAnsiTheme="minorHAnsi" w:cstheme="minorHAnsi"/>
        </w:rPr>
        <w:t xml:space="preserve"> vorzubeugen, </w:t>
      </w:r>
      <w:r w:rsidRPr="00C43D6A">
        <w:rPr>
          <w:rFonts w:asciiTheme="minorHAnsi" w:hAnsiTheme="minorHAnsi" w:cstheme="minorHAnsi"/>
        </w:rPr>
        <w:t xml:space="preserve">wird den Empfehlungen der speziellen artenschutzrechtlichen Prüfung gefolgt und Vermeidungsmaßnahmen zum Schutz der Kreuzkröte festgelegt. Die formulierte Auflage unter Punkt </w:t>
      </w:r>
      <w:r w:rsidR="000C1A67">
        <w:rPr>
          <w:rFonts w:asciiTheme="minorHAnsi" w:hAnsiTheme="minorHAnsi" w:cstheme="minorHAnsi"/>
        </w:rPr>
        <w:t xml:space="preserve">9 </w:t>
      </w:r>
      <w:r w:rsidRPr="00C43D6A">
        <w:rPr>
          <w:rFonts w:asciiTheme="minorHAnsi" w:hAnsiTheme="minorHAnsi" w:cstheme="minorHAnsi"/>
        </w:rPr>
        <w:t xml:space="preserve">dient als vorgezogene Ausgleichsmaßnahme und soll artenschutzrechtliche Verbotstatbestände gemäß § 44 Abs. 1 Nr. </w:t>
      </w:r>
      <w:r w:rsidR="00E04B15">
        <w:rPr>
          <w:rFonts w:asciiTheme="minorHAnsi" w:hAnsiTheme="minorHAnsi" w:cstheme="minorHAnsi"/>
        </w:rPr>
        <w:t>1-</w:t>
      </w:r>
      <w:r w:rsidRPr="00C43D6A">
        <w:rPr>
          <w:rFonts w:asciiTheme="minorHAnsi" w:hAnsiTheme="minorHAnsi" w:cstheme="minorHAnsi"/>
        </w:rPr>
        <w:t>3 BNatSchG vermeiden</w:t>
      </w:r>
      <w:r w:rsidR="00AD3651">
        <w:rPr>
          <w:rFonts w:asciiTheme="minorHAnsi" w:hAnsiTheme="minorHAnsi" w:cstheme="minorHAnsi"/>
        </w:rPr>
        <w:t xml:space="preserve">. </w:t>
      </w:r>
    </w:p>
    <w:p w:rsidR="00C43D6A" w:rsidRDefault="007C2130" w:rsidP="0058752A">
      <w:pPr>
        <w:jc w:val="both"/>
        <w:rPr>
          <w:rFonts w:asciiTheme="minorHAnsi" w:hAnsiTheme="minorHAnsi" w:cstheme="minorHAnsi"/>
          <w:u w:val="single"/>
        </w:rPr>
      </w:pPr>
      <w:r w:rsidRPr="00C43D6A">
        <w:rPr>
          <w:rFonts w:asciiTheme="minorHAnsi" w:hAnsiTheme="minorHAnsi" w:cstheme="minorHAnsi"/>
          <w:u w:val="single"/>
        </w:rPr>
        <w:t>Zauneidechse:</w:t>
      </w:r>
    </w:p>
    <w:p w:rsidR="007C2130" w:rsidRPr="00C43D6A" w:rsidRDefault="007C2130" w:rsidP="0058752A">
      <w:pPr>
        <w:spacing w:after="240"/>
        <w:jc w:val="both"/>
        <w:rPr>
          <w:rFonts w:asciiTheme="minorHAnsi" w:hAnsiTheme="minorHAnsi" w:cstheme="minorHAnsi"/>
          <w:color w:val="000000"/>
          <w:spacing w:val="-2"/>
        </w:rPr>
      </w:pPr>
      <w:r w:rsidRPr="00C43D6A">
        <w:rPr>
          <w:rFonts w:asciiTheme="minorHAnsi" w:hAnsiTheme="minorHAnsi" w:cstheme="minorHAnsi"/>
        </w:rPr>
        <w:t xml:space="preserve">Um die fachlich korrekte Ausführung der komplexen CEF-Maßnahme Zauneidechse sicherzustellen ist diese unbedingt von einer qualifizierten Person </w:t>
      </w:r>
      <w:r w:rsidRPr="00C43D6A">
        <w:rPr>
          <w:rFonts w:asciiTheme="minorHAnsi" w:hAnsiTheme="minorHAnsi" w:cstheme="minorHAnsi"/>
          <w:color w:val="000000"/>
          <w:spacing w:val="-2"/>
        </w:rPr>
        <w:t>(Biologe, Landsc</w:t>
      </w:r>
      <w:r w:rsidR="00B9736E">
        <w:rPr>
          <w:rFonts w:asciiTheme="minorHAnsi" w:hAnsiTheme="minorHAnsi" w:cstheme="minorHAnsi"/>
          <w:color w:val="000000"/>
          <w:spacing w:val="-2"/>
        </w:rPr>
        <w:t>haftsplaner, o. ä) zu begleiten</w:t>
      </w:r>
      <w:r w:rsidRPr="00C43D6A">
        <w:rPr>
          <w:rFonts w:asciiTheme="minorHAnsi" w:hAnsiTheme="minorHAnsi" w:cstheme="minorHAnsi"/>
          <w:color w:val="000000"/>
          <w:spacing w:val="-2"/>
        </w:rPr>
        <w:t>. Um die Anzahl der Begehungen, die Tage an denen die Eidechsen abgefangen werden, die Witterung, etc. nachvollziehen zu können, ist</w:t>
      </w:r>
      <w:r w:rsidR="00B9736E">
        <w:rPr>
          <w:rFonts w:asciiTheme="minorHAnsi" w:hAnsiTheme="minorHAnsi" w:cstheme="minorHAnsi"/>
          <w:color w:val="000000"/>
          <w:spacing w:val="-2"/>
        </w:rPr>
        <w:t xml:space="preserve"> der unB</w:t>
      </w:r>
      <w:r w:rsidRPr="00C43D6A">
        <w:rPr>
          <w:rFonts w:asciiTheme="minorHAnsi" w:hAnsiTheme="minorHAnsi" w:cstheme="minorHAnsi"/>
          <w:color w:val="000000"/>
          <w:spacing w:val="-2"/>
        </w:rPr>
        <w:t xml:space="preserve"> ein abschließender Bericht vorzulegen, bevor mit dem Abbau in Abschnitt II angefangen werden darf. Die ökologische Baubegleitung ist u. E. erforderlich, um sicherzustellen, dass die gesetzlichen Voraussetzungen des Verwaltungsakts (Gestattungsbescheids) erfüllt werden (Art. 36 Abs. 1 BayVwVfG). Der Bericht zur sachgerechten Durchführung der Vermeidungs- und Kompensationsmaßnahmen ist entsprechend § 17 Abs. 7 BNatSchG vorzulegen.</w:t>
      </w:r>
    </w:p>
    <w:p w:rsidR="00EB658C" w:rsidRPr="00C43D6A" w:rsidRDefault="00EB658C" w:rsidP="0058752A">
      <w:pPr>
        <w:jc w:val="both"/>
        <w:rPr>
          <w:rFonts w:asciiTheme="minorHAnsi" w:hAnsiTheme="minorHAnsi" w:cstheme="minorHAnsi"/>
        </w:rPr>
      </w:pPr>
    </w:p>
    <w:p w:rsidR="007C2130" w:rsidRPr="00C43D6A" w:rsidRDefault="007C2130" w:rsidP="0058752A">
      <w:pPr>
        <w:jc w:val="both"/>
        <w:rPr>
          <w:rFonts w:asciiTheme="minorHAnsi" w:hAnsiTheme="minorHAnsi" w:cstheme="minorHAnsi"/>
        </w:rPr>
      </w:pPr>
      <w:r w:rsidRPr="00C43D6A">
        <w:rPr>
          <w:rFonts w:asciiTheme="minorHAnsi" w:hAnsiTheme="minorHAnsi" w:cstheme="minorHAnsi"/>
        </w:rPr>
        <w:t xml:space="preserve">Folgende </w:t>
      </w:r>
      <w:r w:rsidRPr="00C43D6A">
        <w:rPr>
          <w:rFonts w:asciiTheme="minorHAnsi" w:hAnsiTheme="minorHAnsi" w:cstheme="minorHAnsi"/>
          <w:b/>
        </w:rPr>
        <w:t>Bedingungen und Auflagen</w:t>
      </w:r>
      <w:r w:rsidRPr="00C43D6A">
        <w:rPr>
          <w:rFonts w:asciiTheme="minorHAnsi" w:hAnsiTheme="minorHAnsi" w:cstheme="minorHAnsi"/>
        </w:rPr>
        <w:t xml:space="preserve"> sind aus unserer Sicht für den Genehmigungsbescheid erforderlich:</w:t>
      </w:r>
    </w:p>
    <w:p w:rsidR="00EB658C" w:rsidRDefault="00EB658C" w:rsidP="0058752A">
      <w:pPr>
        <w:jc w:val="both"/>
        <w:rPr>
          <w:b/>
        </w:rPr>
      </w:pPr>
    </w:p>
    <w:p w:rsidR="007C2130" w:rsidRPr="00DA25FC" w:rsidRDefault="007C2130" w:rsidP="0058752A">
      <w:pPr>
        <w:jc w:val="both"/>
        <w:rPr>
          <w:b/>
        </w:rPr>
      </w:pPr>
      <w:r w:rsidRPr="00DA25FC">
        <w:rPr>
          <w:b/>
        </w:rPr>
        <w:t>Aufschiebende Bedingung:</w:t>
      </w:r>
    </w:p>
    <w:p w:rsidR="001B35D2" w:rsidRDefault="0048634D" w:rsidP="0058752A">
      <w:pPr>
        <w:pStyle w:val="Listenabsatz"/>
        <w:numPr>
          <w:ilvl w:val="0"/>
          <w:numId w:val="6"/>
        </w:numPr>
        <w:jc w:val="both"/>
        <w:rPr>
          <w:u w:val="single"/>
        </w:rPr>
      </w:pPr>
      <w:r w:rsidRPr="0048634D">
        <w:rPr>
          <w:u w:val="single"/>
        </w:rPr>
        <w:t xml:space="preserve">CEF-Maßnahmen: </w:t>
      </w:r>
    </w:p>
    <w:p w:rsidR="0048634D" w:rsidRDefault="0048634D" w:rsidP="0048634D">
      <w:pPr>
        <w:pStyle w:val="Listenabsatz"/>
        <w:jc w:val="both"/>
        <w:rPr>
          <w:rFonts w:cstheme="minorHAnsi"/>
        </w:rPr>
      </w:pPr>
      <w:r w:rsidRPr="0048634D">
        <w:t>Artenschutzrech</w:t>
      </w:r>
      <w:r>
        <w:t>tliche V</w:t>
      </w:r>
      <w:r w:rsidRPr="0048634D">
        <w:t xml:space="preserve">erbotstatbestände können </w:t>
      </w:r>
      <w:r>
        <w:t xml:space="preserve">nur dann ausgeschlossen werden, wenn die formulierten CEF-Maßnahmen </w:t>
      </w:r>
      <w:r w:rsidR="00503EF5">
        <w:t xml:space="preserve">zeit,- </w:t>
      </w:r>
      <w:r>
        <w:rPr>
          <w:rFonts w:cstheme="minorHAnsi"/>
        </w:rPr>
        <w:t>plan- und b</w:t>
      </w:r>
      <w:r w:rsidRPr="00C43D6A">
        <w:rPr>
          <w:rFonts w:cstheme="minorHAnsi"/>
        </w:rPr>
        <w:t>escheid</w:t>
      </w:r>
      <w:r>
        <w:rPr>
          <w:rFonts w:cstheme="minorHAnsi"/>
        </w:rPr>
        <w:t>sgerecht</w:t>
      </w:r>
      <w:r w:rsidR="007273AF">
        <w:rPr>
          <w:rFonts w:cstheme="minorHAnsi"/>
        </w:rPr>
        <w:t xml:space="preserve"> umgesetzt wurden. </w:t>
      </w:r>
      <w:r w:rsidR="000B0779">
        <w:rPr>
          <w:rFonts w:cstheme="minorHAnsi"/>
        </w:rPr>
        <w:t>Die n</w:t>
      </w:r>
      <w:r w:rsidR="00376285">
        <w:rPr>
          <w:rFonts w:cstheme="minorHAnsi"/>
        </w:rPr>
        <w:t xml:space="preserve">achfolgenden Auflagen konkretisieren die </w:t>
      </w:r>
      <w:r w:rsidR="00DB6161">
        <w:rPr>
          <w:rFonts w:cstheme="minorHAnsi"/>
        </w:rPr>
        <w:t>im LPB und in der saP formulierten Maßnahmen</w:t>
      </w:r>
      <w:r w:rsidR="007273AF">
        <w:rPr>
          <w:rFonts w:cstheme="minorHAnsi"/>
        </w:rPr>
        <w:t xml:space="preserve"> und sollen die ökologische </w:t>
      </w:r>
      <w:r w:rsidR="000B0779">
        <w:rPr>
          <w:rFonts w:cstheme="minorHAnsi"/>
        </w:rPr>
        <w:t>Wirksamkeit</w:t>
      </w:r>
      <w:r w:rsidR="007273AF">
        <w:rPr>
          <w:rFonts w:cstheme="minorHAnsi"/>
        </w:rPr>
        <w:t xml:space="preserve"> sicherstellen</w:t>
      </w:r>
      <w:r w:rsidR="00DB6161">
        <w:rPr>
          <w:rFonts w:cstheme="minorHAnsi"/>
        </w:rPr>
        <w:t xml:space="preserve">: </w:t>
      </w:r>
    </w:p>
    <w:p w:rsidR="00DB6161" w:rsidRPr="00C43D6A" w:rsidRDefault="00DB6161" w:rsidP="00DB6161">
      <w:pPr>
        <w:pStyle w:val="Listenabsatz"/>
        <w:numPr>
          <w:ilvl w:val="0"/>
          <w:numId w:val="8"/>
        </w:numPr>
        <w:jc w:val="both"/>
        <w:rPr>
          <w:rFonts w:cstheme="minorHAnsi"/>
        </w:rPr>
      </w:pPr>
      <w:r w:rsidRPr="00C43D6A">
        <w:rPr>
          <w:rFonts w:cstheme="minorHAnsi"/>
        </w:rPr>
        <w:lastRenderedPageBreak/>
        <w:t xml:space="preserve">Vor Beginn der Baumfällungen sind in der Umgebung in geeigneten Waldbereichen 15 Fledermausrundkästen und 5 für die Mopsfledermaus geeignete Flachkästen aufzuhängen und bis zum Ende der Abbautätigkeit jährlich von einer Fachkraft zu kontrollieren und zu reinigen. Zusätzlich sind 5 Totholzbäume, die bereits für Fledermäuse nutzbare Strukturen aufweisen, oder in naher Zukunft entwickeln können, zu markieren und dauerhaft zu erhalten. </w:t>
      </w:r>
    </w:p>
    <w:p w:rsidR="00DB6161" w:rsidRPr="00C43D6A" w:rsidRDefault="00DB6161" w:rsidP="00DB6161">
      <w:pPr>
        <w:pStyle w:val="Listenabsatz"/>
        <w:numPr>
          <w:ilvl w:val="0"/>
          <w:numId w:val="8"/>
        </w:numPr>
        <w:jc w:val="both"/>
        <w:rPr>
          <w:rFonts w:cstheme="minorHAnsi"/>
        </w:rPr>
      </w:pPr>
      <w:r w:rsidRPr="00C43D6A">
        <w:rPr>
          <w:rFonts w:cstheme="minorHAnsi"/>
        </w:rPr>
        <w:t xml:space="preserve">Vor Beginn der Baumfällungen sind in der Umgebung in geeigneten Waldbereichen 10 für höhlenbrütende Vogelarten (z. B. Blaumeise, Kleiber, Tannenmeise) geeignete Nistkästen aufzuhängen und bis zum Ende der Abbautätigkeit jährlich von einer Fachkraft zu kontrollieren und zu reinigen. </w:t>
      </w:r>
    </w:p>
    <w:p w:rsidR="00DB6161" w:rsidRPr="00C43D6A" w:rsidRDefault="00DB6161" w:rsidP="00DB6161">
      <w:pPr>
        <w:pStyle w:val="Listenabsatz"/>
        <w:numPr>
          <w:ilvl w:val="0"/>
          <w:numId w:val="8"/>
        </w:numPr>
        <w:jc w:val="both"/>
        <w:rPr>
          <w:rFonts w:cstheme="minorHAnsi"/>
        </w:rPr>
      </w:pPr>
      <w:r w:rsidRPr="00C43D6A">
        <w:rPr>
          <w:rFonts w:cstheme="minorHAnsi"/>
        </w:rPr>
        <w:t>Es ist jährlich ein temporärer Flachwassertümpel bereitzustellen, der als Laichgewässer für die Kreuzkröte (</w:t>
      </w:r>
      <w:r w:rsidRPr="001C2D0E">
        <w:rPr>
          <w:rFonts w:cstheme="minorHAnsi"/>
          <w:i/>
        </w:rPr>
        <w:t>Bufo calamita</w:t>
      </w:r>
      <w:r w:rsidRPr="00C43D6A">
        <w:rPr>
          <w:rFonts w:cstheme="minorHAnsi"/>
        </w:rPr>
        <w:t>) geeignet ist. Der Tümpel muss ca. 30-50 m</w:t>
      </w:r>
      <w:r>
        <w:rPr>
          <w:rFonts w:cstheme="minorHAnsi"/>
        </w:rPr>
        <w:t>²</w:t>
      </w:r>
      <w:r w:rsidRPr="00C43D6A">
        <w:rPr>
          <w:rFonts w:cstheme="minorHAnsi"/>
        </w:rPr>
        <w:t xml:space="preserve"> Fläche und eine Tiefe von 30 cm aufweisen. Der Tümpel m</w:t>
      </w:r>
      <w:r>
        <w:rPr>
          <w:rFonts w:cstheme="minorHAnsi"/>
        </w:rPr>
        <w:t>uss</w:t>
      </w:r>
      <w:r w:rsidRPr="00C43D6A">
        <w:rPr>
          <w:rFonts w:cstheme="minorHAnsi"/>
        </w:rPr>
        <w:t xml:space="preserve"> trichterförmig ausgestaltet und ggf. mit wasserundurchlässigem Material abgedichtet werden. Der Standort sollte in einem Bereich liegen, in den nicht während des Abbaugeschehens eingegriffen wird und an dem sich Niederschlagswasser zum befüllen des Tümpels sammelt kann. Die Maßnahme ist jährlich vor Beginn der Laichperiode im Frühjahr mit der unB abzustimmen und umzusetzen.  </w:t>
      </w:r>
    </w:p>
    <w:p w:rsidR="00DB6161" w:rsidRPr="00C43D6A" w:rsidRDefault="00DB6161" w:rsidP="00DB6161">
      <w:pPr>
        <w:pStyle w:val="Listenabsatz"/>
        <w:numPr>
          <w:ilvl w:val="0"/>
          <w:numId w:val="8"/>
        </w:numPr>
        <w:jc w:val="both"/>
        <w:rPr>
          <w:rFonts w:cstheme="minorHAnsi"/>
        </w:rPr>
      </w:pPr>
      <w:r w:rsidRPr="00C43D6A">
        <w:rPr>
          <w:rFonts w:cstheme="minorHAnsi"/>
        </w:rPr>
        <w:t xml:space="preserve">Die CEF-Maßnahme Zauneidechse (Ersatzhabitate und Umsiedeln) ist von einer ökologischen Baubegleitung durch eine fachlich qualifizierte Person (Biologe, Landschaftsplaner, o. ä.) </w:t>
      </w:r>
      <w:r>
        <w:rPr>
          <w:rFonts w:cstheme="minorHAnsi"/>
        </w:rPr>
        <w:t xml:space="preserve">zu </w:t>
      </w:r>
      <w:r w:rsidRPr="00C43D6A">
        <w:rPr>
          <w:rFonts w:cstheme="minorHAnsi"/>
        </w:rPr>
        <w:t xml:space="preserve">begleiten. Die Anlage des Ersatzhabitats und die Umsiedelungsmaßnahmen sind als Kurzbericht zu </w:t>
      </w:r>
      <w:r>
        <w:rPr>
          <w:rFonts w:cstheme="minorHAnsi"/>
        </w:rPr>
        <w:t>d</w:t>
      </w:r>
      <w:r w:rsidRPr="00C43D6A">
        <w:rPr>
          <w:rFonts w:cstheme="minorHAnsi"/>
        </w:rPr>
        <w:t xml:space="preserve">okumentieren und der unB vor Beginn des Abbaus in Abschnitt II vorzulegen. </w:t>
      </w:r>
    </w:p>
    <w:p w:rsidR="0048634D" w:rsidRPr="0048634D" w:rsidRDefault="0048634D" w:rsidP="00DB6161">
      <w:pPr>
        <w:pStyle w:val="Listenabsatz"/>
        <w:ind w:left="1440"/>
        <w:jc w:val="both"/>
        <w:rPr>
          <w:rFonts w:cstheme="minorHAnsi"/>
        </w:rPr>
      </w:pPr>
    </w:p>
    <w:p w:rsidR="00C43D6A" w:rsidRDefault="007C2130" w:rsidP="0058752A">
      <w:pPr>
        <w:pStyle w:val="Listenabsatz"/>
        <w:numPr>
          <w:ilvl w:val="0"/>
          <w:numId w:val="6"/>
        </w:numPr>
        <w:jc w:val="both"/>
      </w:pPr>
      <w:r w:rsidRPr="00C43D6A">
        <w:rPr>
          <w:u w:val="single"/>
        </w:rPr>
        <w:t>Sicherheitsleistung:</w:t>
      </w:r>
      <w:r w:rsidRPr="00454C7C">
        <w:br/>
        <w:t xml:space="preserve">Zur Sicherung der Herstellung, der im geprüften und genehmigten Abbau- und Rekultivierungsplan dargestellten landschaftspflegerischen Maßnahmen ist eine Sicherheitsleistung von </w:t>
      </w:r>
      <w:r>
        <w:t xml:space="preserve">insgesamt </w:t>
      </w:r>
      <w:r w:rsidR="00B9736E">
        <w:t>87.000,-</w:t>
      </w:r>
      <w:r w:rsidRPr="00454C7C">
        <w:t xml:space="preserve"> € </w:t>
      </w:r>
      <w:r>
        <w:t xml:space="preserve">(zusammengesetzt aus den vier Teilflächen Ia, Ib, II und III) </w:t>
      </w:r>
      <w:r w:rsidRPr="00454C7C">
        <w:t xml:space="preserve">vorzulegen. Die Vorlage einer unbefristeten Bankbürgschaft ist ausreichend. </w:t>
      </w:r>
      <w:r w:rsidRPr="00454C7C">
        <w:br/>
        <w:t>Mit dem Abbau darf erst begonnen werden, wen</w:t>
      </w:r>
      <w:r>
        <w:t>n die Sicherheit geleistet ist.</w:t>
      </w:r>
      <w:r w:rsidR="00C43D6A">
        <w:t xml:space="preserve"> </w:t>
      </w:r>
      <w:r>
        <w:t xml:space="preserve">Die Sicherheitsleistung kann den einzelnen Rekultivierungsabschnitten wie folgt zugeschrieben werden: </w:t>
      </w:r>
      <w:r w:rsidR="00C43D6A">
        <w:t xml:space="preserve"> </w:t>
      </w:r>
    </w:p>
    <w:p w:rsidR="00C43D6A" w:rsidRDefault="00C43D6A" w:rsidP="0058752A">
      <w:pPr>
        <w:pStyle w:val="Listenabsatz"/>
        <w:jc w:val="both"/>
      </w:pPr>
      <w:r>
        <w:t>A</w:t>
      </w:r>
      <w:r w:rsidR="007C2130">
        <w:t xml:space="preserve">bschnitt Ia: </w:t>
      </w:r>
      <w:r w:rsidR="007C2130">
        <w:tab/>
      </w:r>
      <w:r w:rsidR="00B9736E">
        <w:t>20.500,-</w:t>
      </w:r>
      <w:r w:rsidR="007C2130">
        <w:t xml:space="preserve"> €</w:t>
      </w:r>
      <w:r>
        <w:t xml:space="preserve"> </w:t>
      </w:r>
    </w:p>
    <w:p w:rsidR="00C43D6A" w:rsidRDefault="007C2130" w:rsidP="0058752A">
      <w:pPr>
        <w:pStyle w:val="Listenabsatz"/>
        <w:jc w:val="both"/>
      </w:pPr>
      <w:r>
        <w:t>Abschnitt Ib:</w:t>
      </w:r>
      <w:r>
        <w:tab/>
      </w:r>
      <w:r w:rsidR="00B9736E">
        <w:t>14.000,-</w:t>
      </w:r>
      <w:r>
        <w:t xml:space="preserve"> €</w:t>
      </w:r>
      <w:r w:rsidR="00C43D6A">
        <w:t xml:space="preserve"> </w:t>
      </w:r>
    </w:p>
    <w:p w:rsidR="00C43D6A" w:rsidRDefault="00C43D6A" w:rsidP="0058752A">
      <w:pPr>
        <w:pStyle w:val="Listenabsatz"/>
        <w:jc w:val="both"/>
      </w:pPr>
      <w:r>
        <w:t>Abschnitt II:</w:t>
      </w:r>
      <w:r>
        <w:tab/>
      </w:r>
      <w:r w:rsidR="00B9736E">
        <w:t>15.500,-</w:t>
      </w:r>
      <w:r>
        <w:t xml:space="preserve"> €</w:t>
      </w:r>
    </w:p>
    <w:p w:rsidR="00EB5A8F" w:rsidRDefault="007C2130" w:rsidP="0058752A">
      <w:pPr>
        <w:pStyle w:val="Listenabsatz"/>
        <w:jc w:val="both"/>
      </w:pPr>
      <w:r>
        <w:t>Abschnitt III:</w:t>
      </w:r>
      <w:r>
        <w:tab/>
      </w:r>
      <w:r w:rsidR="00B9736E">
        <w:t>37.000,-</w:t>
      </w:r>
      <w:r>
        <w:t xml:space="preserve"> €</w:t>
      </w:r>
    </w:p>
    <w:p w:rsidR="00EB5A8F" w:rsidRDefault="00EB5A8F" w:rsidP="0058752A">
      <w:pPr>
        <w:pStyle w:val="Listenabsatz"/>
        <w:jc w:val="both"/>
      </w:pPr>
    </w:p>
    <w:p w:rsidR="007C2130" w:rsidRPr="00EB5A8F" w:rsidRDefault="007C2130" w:rsidP="0058752A">
      <w:pPr>
        <w:pStyle w:val="Listenabsatz"/>
        <w:jc w:val="both"/>
      </w:pPr>
      <w:r w:rsidRPr="00C43D6A">
        <w:rPr>
          <w:rFonts w:cstheme="minorHAnsi"/>
        </w:rPr>
        <w:lastRenderedPageBreak/>
        <w:t>Vor einer Anordnung der Rückgabe der Sicherheit hat der Unternehmer die Bescheinigung über die beanstandungsfreie Abnahme der herzustellenden Ausgleichs-/Ersatzmaßnahmen vorzulegen.</w:t>
      </w:r>
      <w:r w:rsidRPr="00C43D6A">
        <w:rPr>
          <w:rFonts w:cstheme="minorHAnsi"/>
        </w:rPr>
        <w:tab/>
      </w:r>
      <w:r w:rsidRPr="00C43D6A">
        <w:rPr>
          <w:rFonts w:cstheme="minorHAnsi"/>
        </w:rPr>
        <w:br/>
      </w:r>
    </w:p>
    <w:p w:rsidR="00C43D6A" w:rsidRPr="00EB5A8F" w:rsidRDefault="00C43D6A" w:rsidP="0058752A">
      <w:pPr>
        <w:pStyle w:val="Listenabsatz"/>
        <w:numPr>
          <w:ilvl w:val="0"/>
          <w:numId w:val="6"/>
        </w:numPr>
        <w:jc w:val="both"/>
        <w:rPr>
          <w:rFonts w:cstheme="minorHAnsi"/>
          <w:u w:val="single"/>
        </w:rPr>
      </w:pPr>
      <w:r w:rsidRPr="00EB5A8F">
        <w:rPr>
          <w:rFonts w:cstheme="minorHAnsi"/>
          <w:u w:val="single"/>
        </w:rPr>
        <w:t xml:space="preserve">Zeitlicher Ablauf: </w:t>
      </w:r>
    </w:p>
    <w:p w:rsidR="007C2130" w:rsidRPr="00C43D6A" w:rsidRDefault="007C2130" w:rsidP="0058752A">
      <w:pPr>
        <w:pStyle w:val="Listenabsatz"/>
        <w:jc w:val="both"/>
        <w:rPr>
          <w:rFonts w:cstheme="minorHAnsi"/>
        </w:rPr>
      </w:pPr>
      <w:r w:rsidRPr="00C43D6A">
        <w:rPr>
          <w:rFonts w:cstheme="minorHAnsi"/>
        </w:rPr>
        <w:t xml:space="preserve">Der Abbau entsprechend dem Ablaufplan (Beilage 17) darf nur weitergeführt werden, wenn folgende Maßnahmen plan- und bescheidsgerecht zum angegebenen Termin hergestellt und von der Zulassungsbehörde (Landratsamt Aichach-Friedberg) als solche abgenommen worden sind. </w:t>
      </w:r>
    </w:p>
    <w:tbl>
      <w:tblPr>
        <w:tblW w:w="8412"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8"/>
        <w:gridCol w:w="3364"/>
      </w:tblGrid>
      <w:tr w:rsidR="007C2130" w:rsidRPr="00C43D6A" w:rsidTr="00C43D6A">
        <w:trPr>
          <w:trHeight w:val="477"/>
        </w:trPr>
        <w:tc>
          <w:tcPr>
            <w:tcW w:w="5048" w:type="dxa"/>
          </w:tcPr>
          <w:p w:rsidR="007C2130" w:rsidRPr="00C43D6A" w:rsidRDefault="007C2130" w:rsidP="0058752A">
            <w:pPr>
              <w:rPr>
                <w:rFonts w:asciiTheme="minorHAnsi" w:hAnsiTheme="minorHAnsi" w:cstheme="minorHAnsi"/>
                <w:b/>
              </w:rPr>
            </w:pPr>
            <w:r w:rsidRPr="00C43D6A">
              <w:rPr>
                <w:rFonts w:asciiTheme="minorHAnsi" w:hAnsiTheme="minorHAnsi" w:cstheme="minorHAnsi"/>
                <w:b/>
              </w:rPr>
              <w:t>Durchzuführende Maßnahmen</w:t>
            </w:r>
          </w:p>
        </w:tc>
        <w:tc>
          <w:tcPr>
            <w:tcW w:w="3364" w:type="dxa"/>
          </w:tcPr>
          <w:p w:rsidR="007C2130" w:rsidRPr="00C43D6A" w:rsidRDefault="007C2130" w:rsidP="0058752A">
            <w:pPr>
              <w:rPr>
                <w:rFonts w:asciiTheme="minorHAnsi" w:hAnsiTheme="minorHAnsi" w:cstheme="minorHAnsi"/>
                <w:b/>
                <w:bCs/>
              </w:rPr>
            </w:pPr>
            <w:r w:rsidRPr="00C43D6A">
              <w:rPr>
                <w:rFonts w:asciiTheme="minorHAnsi" w:hAnsiTheme="minorHAnsi" w:cstheme="minorHAnsi"/>
                <w:b/>
                <w:bCs/>
              </w:rPr>
              <w:t>Zeitpunkt der</w:t>
            </w:r>
          </w:p>
          <w:p w:rsidR="007C2130" w:rsidRPr="00C43D6A" w:rsidRDefault="007C2130" w:rsidP="0058752A">
            <w:pPr>
              <w:rPr>
                <w:rFonts w:asciiTheme="minorHAnsi" w:hAnsiTheme="minorHAnsi" w:cstheme="minorHAnsi"/>
                <w:b/>
                <w:bCs/>
              </w:rPr>
            </w:pPr>
            <w:r w:rsidRPr="00C43D6A">
              <w:rPr>
                <w:rFonts w:asciiTheme="minorHAnsi" w:hAnsiTheme="minorHAnsi" w:cstheme="minorHAnsi"/>
                <w:b/>
                <w:bCs/>
              </w:rPr>
              <w:t>Fertigstellung</w:t>
            </w:r>
          </w:p>
        </w:tc>
      </w:tr>
      <w:tr w:rsidR="007C2130" w:rsidRPr="00C43D6A" w:rsidTr="00C43D6A">
        <w:trPr>
          <w:trHeight w:val="969"/>
        </w:trPr>
        <w:tc>
          <w:tcPr>
            <w:tcW w:w="5048" w:type="dxa"/>
          </w:tcPr>
          <w:p w:rsidR="007C2130" w:rsidRPr="00C43D6A" w:rsidRDefault="007C2130" w:rsidP="0058752A">
            <w:pPr>
              <w:rPr>
                <w:rFonts w:asciiTheme="minorHAnsi" w:hAnsiTheme="minorHAnsi" w:cstheme="minorHAnsi"/>
              </w:rPr>
            </w:pPr>
            <w:r w:rsidRPr="00C43D6A">
              <w:rPr>
                <w:rFonts w:asciiTheme="minorHAnsi" w:hAnsiTheme="minorHAnsi" w:cstheme="minorHAnsi"/>
              </w:rPr>
              <w:t>Anbringen von:</w:t>
            </w:r>
          </w:p>
          <w:p w:rsidR="007C2130" w:rsidRPr="00C43D6A" w:rsidRDefault="007C2130" w:rsidP="0058752A">
            <w:pPr>
              <w:rPr>
                <w:rFonts w:asciiTheme="minorHAnsi" w:hAnsiTheme="minorHAnsi" w:cstheme="minorHAnsi"/>
              </w:rPr>
            </w:pPr>
            <w:r w:rsidRPr="00C43D6A">
              <w:rPr>
                <w:rFonts w:asciiTheme="minorHAnsi" w:hAnsiTheme="minorHAnsi" w:cstheme="minorHAnsi"/>
              </w:rPr>
              <w:t xml:space="preserve">15 Fledermausrundkästen, </w:t>
            </w:r>
          </w:p>
          <w:p w:rsidR="007C2130" w:rsidRPr="00C43D6A" w:rsidRDefault="007C2130" w:rsidP="0058752A">
            <w:pPr>
              <w:rPr>
                <w:rFonts w:asciiTheme="minorHAnsi" w:hAnsiTheme="minorHAnsi" w:cstheme="minorHAnsi"/>
              </w:rPr>
            </w:pPr>
            <w:r w:rsidRPr="00C43D6A">
              <w:rPr>
                <w:rFonts w:asciiTheme="minorHAnsi" w:hAnsiTheme="minorHAnsi" w:cstheme="minorHAnsi"/>
              </w:rPr>
              <w:t>5 Fledermau</w:t>
            </w:r>
            <w:r w:rsidR="00B9736E">
              <w:rPr>
                <w:rFonts w:asciiTheme="minorHAnsi" w:hAnsiTheme="minorHAnsi" w:cstheme="minorHAnsi"/>
              </w:rPr>
              <w:t>sflachkästen</w:t>
            </w:r>
            <w:r w:rsidRPr="00C43D6A">
              <w:rPr>
                <w:rFonts w:asciiTheme="minorHAnsi" w:hAnsiTheme="minorHAnsi" w:cstheme="minorHAnsi"/>
              </w:rPr>
              <w:t xml:space="preserve">, </w:t>
            </w:r>
          </w:p>
          <w:p w:rsidR="007C2130" w:rsidRPr="00C43D6A" w:rsidRDefault="007C2130" w:rsidP="0058752A">
            <w:pPr>
              <w:rPr>
                <w:rFonts w:asciiTheme="minorHAnsi" w:hAnsiTheme="minorHAnsi" w:cstheme="minorHAnsi"/>
              </w:rPr>
            </w:pPr>
            <w:r w:rsidRPr="00C43D6A">
              <w:rPr>
                <w:rFonts w:asciiTheme="minorHAnsi" w:hAnsiTheme="minorHAnsi" w:cstheme="minorHAnsi"/>
              </w:rPr>
              <w:t xml:space="preserve">10 Nisthilfen für höhlenbrütende Vogelarten.  </w:t>
            </w:r>
          </w:p>
        </w:tc>
        <w:tc>
          <w:tcPr>
            <w:tcW w:w="3364" w:type="dxa"/>
          </w:tcPr>
          <w:p w:rsidR="007C2130" w:rsidRPr="00C43D6A" w:rsidRDefault="007C2130" w:rsidP="0058752A">
            <w:pPr>
              <w:rPr>
                <w:rFonts w:asciiTheme="minorHAnsi" w:hAnsiTheme="minorHAnsi" w:cstheme="minorHAnsi"/>
              </w:rPr>
            </w:pPr>
            <w:r w:rsidRPr="00C43D6A">
              <w:rPr>
                <w:rFonts w:asciiTheme="minorHAnsi" w:hAnsiTheme="minorHAnsi" w:cstheme="minorHAnsi"/>
              </w:rPr>
              <w:t>Vor Beginn der Rodungsarbeiten</w:t>
            </w:r>
          </w:p>
        </w:tc>
      </w:tr>
      <w:tr w:rsidR="007C2130" w:rsidRPr="00C43D6A" w:rsidTr="00C43D6A">
        <w:trPr>
          <w:trHeight w:val="490"/>
        </w:trPr>
        <w:tc>
          <w:tcPr>
            <w:tcW w:w="5048" w:type="dxa"/>
          </w:tcPr>
          <w:p w:rsidR="007C2130" w:rsidRPr="00C43D6A" w:rsidRDefault="007C2130" w:rsidP="0058752A">
            <w:pPr>
              <w:rPr>
                <w:rFonts w:asciiTheme="minorHAnsi" w:hAnsiTheme="minorHAnsi" w:cstheme="minorHAnsi"/>
              </w:rPr>
            </w:pPr>
            <w:r w:rsidRPr="00C43D6A">
              <w:rPr>
                <w:rFonts w:asciiTheme="minorHAnsi" w:hAnsiTheme="minorHAnsi" w:cstheme="minorHAnsi"/>
              </w:rPr>
              <w:t xml:space="preserve">CEF-Maßnahmen Zauneidechsen, anlegen der Zauneidechsen Ersatzhabitate </w:t>
            </w:r>
          </w:p>
        </w:tc>
        <w:tc>
          <w:tcPr>
            <w:tcW w:w="3364" w:type="dxa"/>
          </w:tcPr>
          <w:p w:rsidR="007C2130" w:rsidRPr="00C43D6A" w:rsidRDefault="007C2130" w:rsidP="0058752A">
            <w:pPr>
              <w:rPr>
                <w:rFonts w:asciiTheme="minorHAnsi" w:hAnsiTheme="minorHAnsi" w:cstheme="minorHAnsi"/>
              </w:rPr>
            </w:pPr>
            <w:r w:rsidRPr="00C43D6A">
              <w:rPr>
                <w:rFonts w:asciiTheme="minorHAnsi" w:hAnsiTheme="minorHAnsi" w:cstheme="minorHAnsi"/>
              </w:rPr>
              <w:t xml:space="preserve">Mindestens ein Jahr vor Beginn </w:t>
            </w:r>
            <w:r w:rsidR="00EB658C" w:rsidRPr="00C43D6A">
              <w:rPr>
                <w:rFonts w:asciiTheme="minorHAnsi" w:hAnsiTheme="minorHAnsi" w:cstheme="minorHAnsi"/>
              </w:rPr>
              <w:t xml:space="preserve">mit dem </w:t>
            </w:r>
            <w:r w:rsidRPr="00C43D6A">
              <w:rPr>
                <w:rFonts w:asciiTheme="minorHAnsi" w:hAnsiTheme="minorHAnsi" w:cstheme="minorHAnsi"/>
              </w:rPr>
              <w:t xml:space="preserve">Abbau </w:t>
            </w:r>
            <w:r w:rsidR="00503EF5">
              <w:rPr>
                <w:rFonts w:asciiTheme="minorHAnsi" w:hAnsiTheme="minorHAnsi" w:cstheme="minorHAnsi"/>
              </w:rPr>
              <w:t xml:space="preserve">in </w:t>
            </w:r>
            <w:r w:rsidRPr="00C43D6A">
              <w:rPr>
                <w:rFonts w:asciiTheme="minorHAnsi" w:hAnsiTheme="minorHAnsi" w:cstheme="minorHAnsi"/>
              </w:rPr>
              <w:t xml:space="preserve">Abschnitt II </w:t>
            </w:r>
          </w:p>
        </w:tc>
      </w:tr>
      <w:tr w:rsidR="007C2130" w:rsidRPr="00C43D6A" w:rsidTr="00C43D6A">
        <w:trPr>
          <w:trHeight w:val="477"/>
        </w:trPr>
        <w:tc>
          <w:tcPr>
            <w:tcW w:w="5048" w:type="dxa"/>
          </w:tcPr>
          <w:p w:rsidR="007C2130" w:rsidRPr="00C43D6A" w:rsidRDefault="007C2130" w:rsidP="0058752A">
            <w:pPr>
              <w:rPr>
                <w:rFonts w:asciiTheme="minorHAnsi" w:hAnsiTheme="minorHAnsi" w:cstheme="minorHAnsi"/>
              </w:rPr>
            </w:pPr>
            <w:r w:rsidRPr="00C43D6A">
              <w:rPr>
                <w:rFonts w:asciiTheme="minorHAnsi" w:hAnsiTheme="minorHAnsi" w:cstheme="minorHAnsi"/>
              </w:rPr>
              <w:t>CEF-Maßnahme Zauneidechse, umsiedeln der Zauneidechsen von Abschnitt II nach Abschnitt Ia</w:t>
            </w:r>
          </w:p>
        </w:tc>
        <w:tc>
          <w:tcPr>
            <w:tcW w:w="3364" w:type="dxa"/>
          </w:tcPr>
          <w:p w:rsidR="007C2130" w:rsidRPr="00C43D6A" w:rsidRDefault="007C2130" w:rsidP="0058752A">
            <w:pPr>
              <w:rPr>
                <w:rFonts w:asciiTheme="minorHAnsi" w:hAnsiTheme="minorHAnsi" w:cstheme="minorHAnsi"/>
              </w:rPr>
            </w:pPr>
            <w:r w:rsidRPr="00C43D6A">
              <w:rPr>
                <w:rFonts w:asciiTheme="minorHAnsi" w:hAnsiTheme="minorHAnsi" w:cstheme="minorHAnsi"/>
              </w:rPr>
              <w:t>Vor Beginn des Abbaus in Abschnitt II</w:t>
            </w:r>
          </w:p>
        </w:tc>
      </w:tr>
    </w:tbl>
    <w:p w:rsidR="00C43D6A" w:rsidRPr="00C43D6A" w:rsidRDefault="007C2130" w:rsidP="0058752A">
      <w:pPr>
        <w:rPr>
          <w:rFonts w:asciiTheme="minorHAnsi" w:hAnsiTheme="minorHAnsi" w:cstheme="minorHAnsi"/>
        </w:rPr>
      </w:pPr>
      <w:r w:rsidRPr="00C43D6A">
        <w:rPr>
          <w:rFonts w:asciiTheme="minorHAnsi" w:hAnsiTheme="minorHAnsi" w:cstheme="minorHAnsi"/>
        </w:rPr>
        <w:br/>
      </w:r>
    </w:p>
    <w:p w:rsidR="007C2130" w:rsidRPr="00C43D6A" w:rsidRDefault="007C2130" w:rsidP="0058752A">
      <w:pPr>
        <w:jc w:val="both"/>
        <w:rPr>
          <w:rFonts w:asciiTheme="minorHAnsi" w:hAnsiTheme="minorHAnsi" w:cstheme="minorHAnsi"/>
          <w:b/>
        </w:rPr>
      </w:pPr>
      <w:r w:rsidRPr="00C43D6A">
        <w:rPr>
          <w:rFonts w:asciiTheme="minorHAnsi" w:hAnsiTheme="minorHAnsi" w:cstheme="minorHAnsi"/>
          <w:b/>
        </w:rPr>
        <w:t>Auflagen:</w:t>
      </w:r>
    </w:p>
    <w:p w:rsidR="007C2130" w:rsidRPr="00C43D6A" w:rsidRDefault="007C2130" w:rsidP="0058752A">
      <w:pPr>
        <w:pStyle w:val="Listenabsatz"/>
        <w:numPr>
          <w:ilvl w:val="0"/>
          <w:numId w:val="5"/>
        </w:numPr>
        <w:jc w:val="both"/>
        <w:rPr>
          <w:rFonts w:cstheme="minorHAnsi"/>
        </w:rPr>
      </w:pPr>
      <w:r w:rsidRPr="00C43D6A">
        <w:rPr>
          <w:rFonts w:cstheme="minorHAnsi"/>
        </w:rPr>
        <w:t xml:space="preserve">Der landschaftspflegerische Begleitplan des Planungsbüros Brugger vom Dezember </w:t>
      </w:r>
      <w:r w:rsidR="001C2D0E" w:rsidRPr="00C43D6A">
        <w:rPr>
          <w:rFonts w:cstheme="minorHAnsi"/>
        </w:rPr>
        <w:t>2022 ist</w:t>
      </w:r>
      <w:r w:rsidRPr="00C43D6A">
        <w:rPr>
          <w:rFonts w:cstheme="minorHAnsi"/>
        </w:rPr>
        <w:t xml:space="preserve"> Teil der Genehmigung. Die darin enthaltenen Ausgleichs-, Kompensations- und </w:t>
      </w:r>
      <w:r w:rsidR="00C43D6A">
        <w:rPr>
          <w:rFonts w:cstheme="minorHAnsi"/>
        </w:rPr>
        <w:t>Vermeidungsmaßnahmen sind plan- und b</w:t>
      </w:r>
      <w:r w:rsidRPr="00C43D6A">
        <w:rPr>
          <w:rFonts w:cstheme="minorHAnsi"/>
        </w:rPr>
        <w:t>escheid</w:t>
      </w:r>
      <w:r w:rsidR="00C43D6A">
        <w:rPr>
          <w:rFonts w:cstheme="minorHAnsi"/>
        </w:rPr>
        <w:t>sgerecht h</w:t>
      </w:r>
      <w:r w:rsidRPr="00C43D6A">
        <w:rPr>
          <w:rFonts w:cstheme="minorHAnsi"/>
        </w:rPr>
        <w:t xml:space="preserve">erzustellen. </w:t>
      </w:r>
    </w:p>
    <w:p w:rsidR="007C2130" w:rsidRPr="00C43D6A" w:rsidRDefault="007C2130" w:rsidP="0058752A">
      <w:pPr>
        <w:pStyle w:val="Listenabsatz"/>
        <w:numPr>
          <w:ilvl w:val="0"/>
          <w:numId w:val="5"/>
        </w:numPr>
        <w:jc w:val="both"/>
        <w:rPr>
          <w:rFonts w:cstheme="minorHAnsi"/>
        </w:rPr>
      </w:pPr>
      <w:r w:rsidRPr="00C43D6A">
        <w:rPr>
          <w:rFonts w:cstheme="minorHAnsi"/>
        </w:rPr>
        <w:t>Die dargestellten Kompensationsmaßnahmen dienen ausschließlich als Ausgleich bzw. Ersatz für die mit dem Bauvorhaben verbundenen Beeinträchtigungen von Natur und Landschaft. Jede anderweitige Nutzung dieser Flächen ist ausgeschlossen.</w:t>
      </w:r>
    </w:p>
    <w:p w:rsidR="007C2130" w:rsidRPr="00CC449F" w:rsidRDefault="007C2130" w:rsidP="00CC449F">
      <w:pPr>
        <w:pStyle w:val="Listenabsatz"/>
        <w:numPr>
          <w:ilvl w:val="0"/>
          <w:numId w:val="5"/>
        </w:numPr>
        <w:jc w:val="both"/>
        <w:rPr>
          <w:rFonts w:cstheme="minorHAnsi"/>
        </w:rPr>
      </w:pPr>
      <w:r w:rsidRPr="00C43D6A">
        <w:rPr>
          <w:rFonts w:cstheme="minorHAnsi"/>
        </w:rPr>
        <w:t xml:space="preserve">Die im Rekultivierungsplan vorgesehenen Ausgleichsmaßnahmen sind dem Ablaufplan entsprechend in mehreren Schritten bis spätestens </w:t>
      </w:r>
      <w:r w:rsidR="00401545">
        <w:rPr>
          <w:rFonts w:cstheme="minorHAnsi"/>
        </w:rPr>
        <w:t>25 Jahre nach dem Abbaubeginn</w:t>
      </w:r>
      <w:r w:rsidRPr="00EB5A8F">
        <w:rPr>
          <w:rFonts w:cstheme="minorHAnsi"/>
        </w:rPr>
        <w:t xml:space="preserve"> </w:t>
      </w:r>
      <w:r w:rsidRPr="00C43D6A">
        <w:rPr>
          <w:rFonts w:cstheme="minorHAnsi"/>
        </w:rPr>
        <w:t xml:space="preserve">herzustellen. Die Herstellung der Maßnahmen ist zeitgerecht innerhalb 1 Woche nach Fertigstellung des jeweiligen Ausführungszeitraumes dem Landratsamt anzuzeigen. </w:t>
      </w:r>
      <w:r w:rsidR="00CC449F" w:rsidRPr="00C43D6A">
        <w:rPr>
          <w:rFonts w:cstheme="minorHAnsi"/>
        </w:rPr>
        <w:t xml:space="preserve">Die zeitlichen Vorgaben des Ablaufplans sind dabei einzuhalten. </w:t>
      </w:r>
    </w:p>
    <w:p w:rsidR="007C2130" w:rsidRPr="00C43D6A" w:rsidRDefault="007C2130" w:rsidP="0058752A">
      <w:pPr>
        <w:pStyle w:val="Listenabsatz"/>
        <w:numPr>
          <w:ilvl w:val="0"/>
          <w:numId w:val="5"/>
        </w:numPr>
        <w:jc w:val="both"/>
        <w:rPr>
          <w:rFonts w:cstheme="minorHAnsi"/>
        </w:rPr>
      </w:pPr>
      <w:r w:rsidRPr="00C43D6A">
        <w:rPr>
          <w:rFonts w:cstheme="minorHAnsi"/>
        </w:rPr>
        <w:t xml:space="preserve">Der Unterhalt der Ausgleichs- und Ersatzmaßnahmen ist gemäß den Pflegevorgaben des landschaftspflegerischen Begleitplanes bis 25 Jahre nach erfolgter Abnahme zu gewährleisten. Die Rohbodenstandorte sind dabei gemäß Plan für 5 Jahre jährlich im September zu mähen. Anschließend ist die Fläche der Sukzession zu überlassen oder als standortgerechter Mischwald aufzuforsten. </w:t>
      </w:r>
    </w:p>
    <w:p w:rsidR="007C2130" w:rsidRDefault="007C2130" w:rsidP="0058752A">
      <w:pPr>
        <w:pStyle w:val="Listenabsatz"/>
        <w:numPr>
          <w:ilvl w:val="0"/>
          <w:numId w:val="5"/>
        </w:numPr>
        <w:jc w:val="both"/>
        <w:rPr>
          <w:rFonts w:cstheme="minorHAnsi"/>
        </w:rPr>
      </w:pPr>
      <w:r w:rsidRPr="00C43D6A">
        <w:rPr>
          <w:rFonts w:cstheme="minorHAnsi"/>
        </w:rPr>
        <w:t xml:space="preserve">Auf den im Maßnahmenplan ausgewiesenen Flächen sind Ansaaten mit zertifiziertem Wildpflanzensaatgut zu verwenden. Die festgelegten Artenmischungen und Mindestkräuteranteile sind einzuhalten. Als Nachweis für die Verwendung der Regiosaatgutmischungen ist ein Lieferschein der Bezugsfirma vorzulegen. </w:t>
      </w:r>
    </w:p>
    <w:p w:rsidR="000C1A67" w:rsidRPr="00C43D6A" w:rsidRDefault="000C1A67" w:rsidP="0058752A">
      <w:pPr>
        <w:pStyle w:val="Listenabsatz"/>
        <w:numPr>
          <w:ilvl w:val="0"/>
          <w:numId w:val="5"/>
        </w:numPr>
        <w:jc w:val="both"/>
        <w:rPr>
          <w:rFonts w:cstheme="minorHAnsi"/>
        </w:rPr>
      </w:pPr>
      <w:r>
        <w:rPr>
          <w:rFonts w:cstheme="minorHAnsi"/>
        </w:rPr>
        <w:t>Auf den r</w:t>
      </w:r>
      <w:r w:rsidRPr="00C43D6A">
        <w:rPr>
          <w:rFonts w:cstheme="minorHAnsi"/>
        </w:rPr>
        <w:t>ekultivierten Waldflächen sind dauerhaft 10 Biotopbäume pro Hektar und 15 Kubikmeter Totholz pro Hektar zu fördern und zu erhalten.</w:t>
      </w:r>
    </w:p>
    <w:p w:rsidR="0068569F" w:rsidRPr="004B6221" w:rsidRDefault="0068569F" w:rsidP="00EB658C">
      <w:pPr>
        <w:rPr>
          <w:rFonts w:asciiTheme="minorHAnsi" w:hAnsiTheme="minorHAnsi" w:cstheme="minorHAnsi"/>
        </w:rPr>
      </w:pPr>
    </w:p>
    <w:p w:rsidR="002D746F" w:rsidRPr="002D746F" w:rsidRDefault="002D746F" w:rsidP="002D746F">
      <w:pPr>
        <w:jc w:val="both"/>
        <w:rPr>
          <w:rFonts w:asciiTheme="minorHAnsi" w:hAnsiTheme="minorHAnsi" w:cstheme="minorHAnsi"/>
        </w:rPr>
      </w:pPr>
      <w:r w:rsidRPr="002D746F">
        <w:rPr>
          <w:rFonts w:asciiTheme="minorHAnsi" w:hAnsiTheme="minorHAnsi" w:cstheme="minorHAnsi"/>
        </w:rPr>
        <w:t>Um Abdruck des Genehmigungsbescheides und Überlassung eines Plansatzes für das Ausgleichs- und Ersatzflächenkataster wird gebeten.</w:t>
      </w:r>
    </w:p>
    <w:p w:rsidR="002D746F" w:rsidRPr="002D746F" w:rsidRDefault="002D746F" w:rsidP="002D746F">
      <w:pPr>
        <w:jc w:val="both"/>
        <w:rPr>
          <w:rFonts w:asciiTheme="minorHAnsi" w:hAnsiTheme="minorHAnsi" w:cstheme="minorHAnsi"/>
        </w:rPr>
      </w:pPr>
    </w:p>
    <w:p w:rsidR="002D746F" w:rsidRPr="002D746F" w:rsidRDefault="002D746F" w:rsidP="002D746F">
      <w:pPr>
        <w:jc w:val="both"/>
        <w:rPr>
          <w:rFonts w:asciiTheme="minorHAnsi" w:hAnsiTheme="minorHAnsi" w:cstheme="minorHAnsi"/>
        </w:rPr>
      </w:pPr>
    </w:p>
    <w:p w:rsidR="002D746F" w:rsidRPr="002D746F" w:rsidRDefault="002D746F" w:rsidP="002D746F">
      <w:pPr>
        <w:jc w:val="both"/>
        <w:rPr>
          <w:rFonts w:asciiTheme="minorHAnsi" w:hAnsiTheme="minorHAnsi" w:cstheme="minorHAnsi"/>
        </w:rPr>
      </w:pPr>
      <w:r w:rsidRPr="002D746F">
        <w:rPr>
          <w:rFonts w:asciiTheme="minorHAnsi" w:hAnsiTheme="minorHAnsi" w:cstheme="minorHAnsi"/>
        </w:rPr>
        <w:t>Für Rückfragen stehen wir selbstverständlich gerne zur Verfügung.</w:t>
      </w:r>
    </w:p>
    <w:p w:rsidR="002D746F" w:rsidRDefault="002D746F" w:rsidP="002D746F"/>
    <w:p w:rsidR="002D746F" w:rsidRDefault="002D746F" w:rsidP="002D746F">
      <w:pPr>
        <w:jc w:val="both"/>
        <w:rPr>
          <w:rFonts w:asciiTheme="minorHAnsi" w:hAnsiTheme="minorHAnsi" w:cstheme="minorHAnsi"/>
        </w:rPr>
      </w:pPr>
    </w:p>
    <w:p w:rsidR="00D27DB1" w:rsidRPr="0058752A" w:rsidRDefault="00D27DB1" w:rsidP="002D746F">
      <w:pPr>
        <w:jc w:val="both"/>
        <w:rPr>
          <w:rFonts w:asciiTheme="minorHAnsi" w:hAnsiTheme="minorHAnsi" w:cstheme="minorHAnsi"/>
        </w:rPr>
      </w:pPr>
    </w:p>
    <w:p w:rsidR="002D746F" w:rsidRPr="0058752A" w:rsidRDefault="002D746F" w:rsidP="002D746F">
      <w:pPr>
        <w:jc w:val="both"/>
        <w:rPr>
          <w:rFonts w:asciiTheme="minorHAnsi" w:hAnsiTheme="minorHAnsi" w:cstheme="minorHAnsi"/>
        </w:rPr>
      </w:pPr>
      <w:r w:rsidRPr="0058752A">
        <w:rPr>
          <w:rFonts w:asciiTheme="minorHAnsi" w:hAnsiTheme="minorHAnsi" w:cstheme="minorHAnsi"/>
        </w:rPr>
        <w:t>Mit freundlichen Grüßen,</w:t>
      </w:r>
    </w:p>
    <w:p w:rsidR="002D746F" w:rsidRDefault="002D746F" w:rsidP="002D746F">
      <w:pPr>
        <w:jc w:val="both"/>
        <w:rPr>
          <w:rFonts w:asciiTheme="minorHAnsi" w:hAnsiTheme="minorHAnsi" w:cstheme="minorHAnsi"/>
        </w:rPr>
      </w:pPr>
    </w:p>
    <w:p w:rsidR="000B0779" w:rsidRPr="0058752A" w:rsidRDefault="000B0779" w:rsidP="002D746F">
      <w:pPr>
        <w:jc w:val="both"/>
        <w:rPr>
          <w:rFonts w:asciiTheme="minorHAnsi" w:hAnsiTheme="minorHAnsi" w:cstheme="minorHAnsi"/>
        </w:rPr>
      </w:pPr>
    </w:p>
    <w:p w:rsidR="002D746F" w:rsidRDefault="002D746F" w:rsidP="002D746F">
      <w:pPr>
        <w:jc w:val="both"/>
        <w:rPr>
          <w:rFonts w:asciiTheme="minorHAnsi" w:hAnsiTheme="minorHAnsi" w:cstheme="minorHAnsi"/>
        </w:rPr>
      </w:pPr>
      <w:r w:rsidRPr="0058752A">
        <w:rPr>
          <w:rFonts w:asciiTheme="minorHAnsi" w:hAnsiTheme="minorHAnsi" w:cstheme="minorHAnsi"/>
        </w:rPr>
        <w:t xml:space="preserve">Andreas Ufer </w:t>
      </w:r>
    </w:p>
    <w:p w:rsidR="002E02FE" w:rsidRDefault="002E02FE" w:rsidP="002D746F">
      <w:pPr>
        <w:jc w:val="both"/>
        <w:rPr>
          <w:rFonts w:asciiTheme="minorHAnsi" w:hAnsiTheme="minorHAnsi" w:cstheme="minorHAnsi"/>
        </w:rPr>
      </w:pPr>
    </w:p>
    <w:p w:rsidR="000B0779" w:rsidRDefault="000B0779" w:rsidP="002D746F">
      <w:pPr>
        <w:jc w:val="both"/>
        <w:rPr>
          <w:rFonts w:asciiTheme="minorHAnsi" w:hAnsiTheme="minorHAnsi" w:cstheme="minorHAnsi"/>
        </w:rPr>
      </w:pPr>
    </w:p>
    <w:p w:rsidR="000B0779" w:rsidRDefault="000B0779" w:rsidP="002D746F">
      <w:pPr>
        <w:jc w:val="both"/>
        <w:rPr>
          <w:rFonts w:asciiTheme="minorHAnsi" w:hAnsiTheme="minorHAnsi" w:cstheme="minorHAnsi"/>
        </w:rPr>
      </w:pPr>
    </w:p>
    <w:p w:rsidR="002E02FE" w:rsidRPr="0058752A" w:rsidRDefault="002E02FE" w:rsidP="002D746F">
      <w:pPr>
        <w:jc w:val="both"/>
        <w:rPr>
          <w:rFonts w:asciiTheme="minorHAnsi" w:hAnsiTheme="minorHAnsi" w:cstheme="minorHAnsi"/>
        </w:rPr>
      </w:pPr>
    </w:p>
    <w:p w:rsidR="004B6221" w:rsidRPr="0058752A" w:rsidRDefault="004B6221" w:rsidP="00E93467">
      <w:pPr>
        <w:pStyle w:val="KeinLeerraum"/>
        <w:jc w:val="both"/>
        <w:rPr>
          <w:rFonts w:cstheme="minorHAnsi"/>
          <w:u w:val="single"/>
        </w:rPr>
      </w:pPr>
      <w:r w:rsidRPr="0058752A">
        <w:rPr>
          <w:rFonts w:cstheme="minorHAnsi"/>
          <w:u w:val="single"/>
        </w:rPr>
        <w:t>Begründung:</w:t>
      </w:r>
    </w:p>
    <w:p w:rsidR="004B6221" w:rsidRPr="0058752A" w:rsidRDefault="004B6221" w:rsidP="00E93467">
      <w:pPr>
        <w:pStyle w:val="KeinLeerraum"/>
        <w:jc w:val="both"/>
        <w:rPr>
          <w:rFonts w:cstheme="minorHAnsi"/>
        </w:rPr>
      </w:pPr>
      <w:r w:rsidRPr="0058752A">
        <w:rPr>
          <w:rFonts w:cstheme="minorHAnsi"/>
        </w:rPr>
        <w:t>Nach § 14 des Bundesnaturschutzgesetzes (BNatSchG) stellt jede Veränderung der Gestalt oder Nut-zung von Grundflächen, die eine erhebliche Beeinträchtigung der Leistungs- und Funktionsfähigkeit des Naturhaushaltes oder des Landschaftsbildes zur Folge hat, einen Eingriff in Natur und Landschaft i.S.d. Bundesnaturschutzgesetzes dar. Der Eingriffsverursacher ist nach § 15 BNatSchG verpflichtet, vermeidbare Beeinträchtigungen zu unterlassen bzw. unvermeidbare Beeinträchtigungen auszugleichen oder zu ersetzen. Bedarf ein Eingriff nach anderen Rechtsvorschriften – wie hier aufgrund der Baugenehmigungspflicht aus Art. 55 Abs. 1 BayBO – einer behördlichen Zulassung, so hat gemäß § 17 Abs. 1 BNatSchG die zuständige Genehmigungsbehörde – hier die untere Bauaufsichtsbehörde – zugleich die zur Durchführung des § 15 BNatSchG erforderlichen Entscheidungen und Maßnahmen im Benehmen mit der für Naturschutz und Landschaftspflege zuständigen Behörde – hier der unteren Naturschutzbehörde – zu treffen. Gemäß § 18 Abs. 2 BNatSchG sind die §§ 14 – 17 BNatSchG auf Vorhaben in Gebieten mit Bebauungsplänen nach § 30 BauGB, während der Planaufstellung nach § 33 BauGB und im Innenbereich nach § 34 BauGB nicht anzuwenden. Für Vorhaben im Außenbereich nach § 35 BauGB sowie für Bebauungspläne, soweit sie eine Planfeststellung ersetzen, bleibt die Geltung der §§ 14 - 17 BNatSchG hingegen unberührt.</w:t>
      </w:r>
    </w:p>
    <w:p w:rsidR="004B6221" w:rsidRPr="0058752A" w:rsidRDefault="004B6221" w:rsidP="00E93467">
      <w:pPr>
        <w:pStyle w:val="KeinLeerraum"/>
        <w:spacing w:after="240"/>
        <w:jc w:val="both"/>
        <w:rPr>
          <w:rFonts w:cstheme="minorHAnsi"/>
        </w:rPr>
      </w:pPr>
      <w:r w:rsidRPr="0058752A">
        <w:rPr>
          <w:rFonts w:cstheme="minorHAnsi"/>
        </w:rPr>
        <w:t xml:space="preserve">Unter Berücksichtigung obiger Grundsätze sind die §§ 14 – 17 BNatSchG sowie die Bayerische Kompensationsverordnung vorliegend anwendbar. Das gegenständliche Bauvorhaben ist zudem seinem Charakter nach als Eingriff in Natur und Landschaft i.S.d. §§ 14 ff. BNatSchG zu qualifizieren. </w:t>
      </w:r>
    </w:p>
    <w:p w:rsidR="004B6221" w:rsidRPr="0058752A" w:rsidRDefault="009E1402" w:rsidP="00E93467">
      <w:pPr>
        <w:jc w:val="both"/>
        <w:rPr>
          <w:rFonts w:asciiTheme="minorHAnsi" w:hAnsiTheme="minorHAnsi" w:cstheme="minorHAnsi"/>
        </w:rPr>
      </w:pPr>
      <w:r w:rsidRPr="0058752A">
        <w:rPr>
          <w:rFonts w:asciiTheme="minorHAnsi" w:hAnsiTheme="minorHAnsi" w:cstheme="minorHAnsi"/>
        </w:rPr>
        <w:t xml:space="preserve">Gemäß § 44 Abs. </w:t>
      </w:r>
      <w:r w:rsidR="007A7138" w:rsidRPr="0058752A">
        <w:rPr>
          <w:rFonts w:asciiTheme="minorHAnsi" w:hAnsiTheme="minorHAnsi" w:cstheme="minorHAnsi"/>
        </w:rPr>
        <w:t>1 Nr. 1</w:t>
      </w:r>
      <w:r w:rsidR="00AF3DFC" w:rsidRPr="0058752A">
        <w:rPr>
          <w:rFonts w:asciiTheme="minorHAnsi" w:hAnsiTheme="minorHAnsi" w:cstheme="minorHAnsi"/>
        </w:rPr>
        <w:t xml:space="preserve"> – </w:t>
      </w:r>
      <w:r w:rsidR="007A7138" w:rsidRPr="0058752A">
        <w:rPr>
          <w:rFonts w:asciiTheme="minorHAnsi" w:hAnsiTheme="minorHAnsi" w:cstheme="minorHAnsi"/>
        </w:rPr>
        <w:t>3</w:t>
      </w:r>
      <w:r w:rsidR="00A46F00" w:rsidRPr="0058752A">
        <w:rPr>
          <w:rFonts w:asciiTheme="minorHAnsi" w:hAnsiTheme="minorHAnsi" w:cstheme="minorHAnsi"/>
        </w:rPr>
        <w:t xml:space="preserve"> BNatSchG</w:t>
      </w:r>
      <w:r w:rsidRPr="0058752A">
        <w:rPr>
          <w:rFonts w:asciiTheme="minorHAnsi" w:hAnsiTheme="minorHAnsi" w:cstheme="minorHAnsi"/>
        </w:rPr>
        <w:t xml:space="preserve"> ist es verboten, besonders und streng geschütz</w:t>
      </w:r>
      <w:r w:rsidR="001C2D0E" w:rsidRPr="0058752A">
        <w:rPr>
          <w:rFonts w:asciiTheme="minorHAnsi" w:hAnsiTheme="minorHAnsi" w:cstheme="minorHAnsi"/>
        </w:rPr>
        <w:t>t</w:t>
      </w:r>
      <w:r w:rsidRPr="0058752A">
        <w:rPr>
          <w:rFonts w:asciiTheme="minorHAnsi" w:hAnsiTheme="minorHAnsi" w:cstheme="minorHAnsi"/>
        </w:rPr>
        <w:t xml:space="preserve">e Tiere </w:t>
      </w:r>
      <w:r w:rsidR="007A7138" w:rsidRPr="0058752A">
        <w:rPr>
          <w:rFonts w:asciiTheme="minorHAnsi" w:hAnsiTheme="minorHAnsi" w:cstheme="minorHAnsi"/>
        </w:rPr>
        <w:t xml:space="preserve">zu </w:t>
      </w:r>
      <w:r w:rsidRPr="0058752A">
        <w:rPr>
          <w:rFonts w:asciiTheme="minorHAnsi" w:hAnsiTheme="minorHAnsi" w:cstheme="minorHAnsi"/>
        </w:rPr>
        <w:t xml:space="preserve">beeinträchtigen oder ihre Fortpflanzungs- und Ruhestätten </w:t>
      </w:r>
      <w:r w:rsidR="00E93467" w:rsidRPr="0058752A">
        <w:rPr>
          <w:rFonts w:asciiTheme="minorHAnsi" w:hAnsiTheme="minorHAnsi" w:cstheme="minorHAnsi"/>
        </w:rPr>
        <w:t>zu beschädigen, s</w:t>
      </w:r>
      <w:r w:rsidRPr="0058752A">
        <w:rPr>
          <w:rFonts w:asciiTheme="minorHAnsi" w:hAnsiTheme="minorHAnsi" w:cstheme="minorHAnsi"/>
        </w:rPr>
        <w:t xml:space="preserve">treng geschützte Tierarten dürfen zudem während </w:t>
      </w:r>
      <w:r w:rsidR="007A7138" w:rsidRPr="0058752A">
        <w:rPr>
          <w:rFonts w:asciiTheme="minorHAnsi" w:hAnsiTheme="minorHAnsi" w:cstheme="minorHAnsi"/>
        </w:rPr>
        <w:t xml:space="preserve">ökologisch </w:t>
      </w:r>
      <w:r w:rsidR="00E93467" w:rsidRPr="0058752A">
        <w:rPr>
          <w:rFonts w:asciiTheme="minorHAnsi" w:hAnsiTheme="minorHAnsi" w:cstheme="minorHAnsi"/>
        </w:rPr>
        <w:t>sensiblen</w:t>
      </w:r>
      <w:r w:rsidR="007A7138" w:rsidRPr="0058752A">
        <w:rPr>
          <w:rFonts w:asciiTheme="minorHAnsi" w:hAnsiTheme="minorHAnsi" w:cstheme="minorHAnsi"/>
        </w:rPr>
        <w:t xml:space="preserve"> </w:t>
      </w:r>
      <w:r w:rsidR="00E93467" w:rsidRPr="0058752A">
        <w:rPr>
          <w:rFonts w:asciiTheme="minorHAnsi" w:hAnsiTheme="minorHAnsi" w:cstheme="minorHAnsi"/>
        </w:rPr>
        <w:t>Phasen</w:t>
      </w:r>
      <w:r w:rsidR="007A7138" w:rsidRPr="0058752A">
        <w:rPr>
          <w:rFonts w:asciiTheme="minorHAnsi" w:hAnsiTheme="minorHAnsi" w:cstheme="minorHAnsi"/>
        </w:rPr>
        <w:t xml:space="preserve"> nicht erheblich gestört werden. Diese sogenannten Zugriffsverbote sind grundsätzlich zu beachten. Ein </w:t>
      </w:r>
      <w:r w:rsidR="00E93467" w:rsidRPr="0058752A">
        <w:rPr>
          <w:rFonts w:asciiTheme="minorHAnsi" w:hAnsiTheme="minorHAnsi" w:cstheme="minorHAnsi"/>
        </w:rPr>
        <w:t>Verstoß gegen die Verbote n</w:t>
      </w:r>
      <w:r w:rsidR="007A7138" w:rsidRPr="0058752A">
        <w:rPr>
          <w:rFonts w:asciiTheme="minorHAnsi" w:hAnsiTheme="minorHAnsi" w:cstheme="minorHAnsi"/>
        </w:rPr>
        <w:t>ac</w:t>
      </w:r>
      <w:r w:rsidR="00E93467" w:rsidRPr="0058752A">
        <w:rPr>
          <w:rFonts w:asciiTheme="minorHAnsi" w:hAnsiTheme="minorHAnsi" w:cstheme="minorHAnsi"/>
        </w:rPr>
        <w:t>h § 44 Abs. 1 Nr. 1</w:t>
      </w:r>
      <w:r w:rsidR="00AF3DFC" w:rsidRPr="0058752A">
        <w:rPr>
          <w:rFonts w:asciiTheme="minorHAnsi" w:hAnsiTheme="minorHAnsi" w:cstheme="minorHAnsi"/>
        </w:rPr>
        <w:t xml:space="preserve"> – </w:t>
      </w:r>
      <w:r w:rsidR="00E93467" w:rsidRPr="0058752A">
        <w:rPr>
          <w:rFonts w:asciiTheme="minorHAnsi" w:hAnsiTheme="minorHAnsi" w:cstheme="minorHAnsi"/>
        </w:rPr>
        <w:t xml:space="preserve">3 </w:t>
      </w:r>
      <w:r w:rsidR="00A46F00" w:rsidRPr="0058752A">
        <w:rPr>
          <w:rFonts w:asciiTheme="minorHAnsi" w:hAnsiTheme="minorHAnsi" w:cstheme="minorHAnsi"/>
        </w:rPr>
        <w:t xml:space="preserve">BNatSchG </w:t>
      </w:r>
      <w:r w:rsidR="00E93467" w:rsidRPr="0058752A">
        <w:rPr>
          <w:rFonts w:asciiTheme="minorHAnsi" w:hAnsiTheme="minorHAnsi" w:cstheme="minorHAnsi"/>
        </w:rPr>
        <w:t>liegt nicht vor, wenn entsprechend § 44 Abs. 5 Nr. 1</w:t>
      </w:r>
      <w:r w:rsidR="00AF3DFC" w:rsidRPr="0058752A">
        <w:rPr>
          <w:rFonts w:asciiTheme="minorHAnsi" w:hAnsiTheme="minorHAnsi" w:cstheme="minorHAnsi"/>
        </w:rPr>
        <w:t xml:space="preserve"> – </w:t>
      </w:r>
      <w:r w:rsidR="00E93467" w:rsidRPr="0058752A">
        <w:rPr>
          <w:rFonts w:asciiTheme="minorHAnsi" w:hAnsiTheme="minorHAnsi" w:cstheme="minorHAnsi"/>
        </w:rPr>
        <w:t xml:space="preserve">3 </w:t>
      </w:r>
      <w:r w:rsidR="00A46F00" w:rsidRPr="0058752A">
        <w:rPr>
          <w:rFonts w:asciiTheme="minorHAnsi" w:hAnsiTheme="minorHAnsi" w:cstheme="minorHAnsi"/>
        </w:rPr>
        <w:t xml:space="preserve">BNatSchG </w:t>
      </w:r>
      <w:r w:rsidR="00E93467" w:rsidRPr="0058752A">
        <w:rPr>
          <w:rFonts w:asciiTheme="minorHAnsi" w:hAnsiTheme="minorHAnsi" w:cstheme="minorHAnsi"/>
        </w:rPr>
        <w:t>wirksame Maßnahmen zum Schutz der Tiere getroffen werden. Soweit erforderlich sind zum Wirksamen Schutz sogenannte vorgezogenen Ausgleichsmaßnahmen (CEF-Maßnahmen) zu treffen.</w:t>
      </w:r>
      <w:r w:rsidR="004F7D4E" w:rsidRPr="0058752A">
        <w:rPr>
          <w:rFonts w:asciiTheme="minorHAnsi" w:hAnsiTheme="minorHAnsi" w:cstheme="minorHAnsi"/>
        </w:rPr>
        <w:t xml:space="preserve"> </w:t>
      </w:r>
      <w:r w:rsidR="00A46F00" w:rsidRPr="0058752A">
        <w:rPr>
          <w:rFonts w:asciiTheme="minorHAnsi" w:hAnsiTheme="minorHAnsi" w:cstheme="minorHAnsi"/>
        </w:rPr>
        <w:t xml:space="preserve">Beim gegenständlichen Bauvorhaben </w:t>
      </w:r>
      <w:r w:rsidR="00A46F00" w:rsidRPr="0058752A">
        <w:rPr>
          <w:rFonts w:asciiTheme="minorHAnsi" w:hAnsiTheme="minorHAnsi" w:cstheme="minorHAnsi"/>
        </w:rPr>
        <w:lastRenderedPageBreak/>
        <w:t xml:space="preserve">wird gegen die Zugriffsverbote zwangsläufig verstoßen, weshalb Ausgleichs- und </w:t>
      </w:r>
      <w:r w:rsidR="00623E8A" w:rsidRPr="0058752A">
        <w:rPr>
          <w:rFonts w:asciiTheme="minorHAnsi" w:hAnsiTheme="minorHAnsi" w:cstheme="minorHAnsi"/>
        </w:rPr>
        <w:t>Vermeidungsmaßnahmen notwendig sind</w:t>
      </w:r>
      <w:r w:rsidR="00A46F00" w:rsidRPr="0058752A">
        <w:rPr>
          <w:rFonts w:asciiTheme="minorHAnsi" w:hAnsiTheme="minorHAnsi" w:cstheme="minorHAnsi"/>
        </w:rPr>
        <w:t>.</w:t>
      </w:r>
      <w:r w:rsidR="00623E8A" w:rsidRPr="0058752A">
        <w:rPr>
          <w:rFonts w:asciiTheme="minorHAnsi" w:hAnsiTheme="minorHAnsi" w:cstheme="minorHAnsi"/>
        </w:rPr>
        <w:t xml:space="preserve"> </w:t>
      </w:r>
      <w:r w:rsidR="002E02FE">
        <w:rPr>
          <w:rFonts w:asciiTheme="minorHAnsi" w:hAnsiTheme="minorHAnsi" w:cstheme="minorHAnsi"/>
        </w:rPr>
        <w:t xml:space="preserve">Werden die CEF-Maßnahmen korrekt ausgeführt, liegt kein verstoß gegen § 44 Abs. 1 Nr. 1 – 3 BNatSchG vor. </w:t>
      </w:r>
    </w:p>
    <w:p w:rsidR="0058752A" w:rsidRPr="0058752A" w:rsidRDefault="0058752A" w:rsidP="00E93467">
      <w:pPr>
        <w:jc w:val="both"/>
        <w:rPr>
          <w:rFonts w:asciiTheme="minorHAnsi" w:hAnsiTheme="minorHAnsi" w:cstheme="minorHAnsi"/>
        </w:rPr>
      </w:pPr>
    </w:p>
    <w:p w:rsidR="0058752A" w:rsidRPr="0058752A" w:rsidRDefault="0058752A" w:rsidP="00E93467">
      <w:pPr>
        <w:jc w:val="both"/>
        <w:rPr>
          <w:rFonts w:asciiTheme="minorHAnsi" w:hAnsiTheme="minorHAnsi" w:cstheme="minorHAnsi"/>
        </w:rPr>
      </w:pPr>
    </w:p>
    <w:p w:rsidR="0058752A" w:rsidRDefault="0058752A" w:rsidP="00E93467">
      <w:pPr>
        <w:jc w:val="both"/>
        <w:rPr>
          <w:rFonts w:asciiTheme="minorHAnsi" w:hAnsiTheme="minorHAnsi" w:cstheme="minorHAnsi"/>
        </w:rPr>
      </w:pPr>
    </w:p>
    <w:p w:rsidR="002D746F" w:rsidRPr="0058752A" w:rsidRDefault="002D746F">
      <w:pPr>
        <w:jc w:val="both"/>
        <w:rPr>
          <w:rFonts w:asciiTheme="minorHAnsi" w:hAnsiTheme="minorHAnsi" w:cstheme="minorHAnsi"/>
        </w:rPr>
      </w:pPr>
    </w:p>
    <w:sectPr w:rsidR="002D746F" w:rsidRPr="0058752A" w:rsidSect="00BD3AF6">
      <w:headerReference w:type="default" r:id="rId8"/>
      <w:headerReference w:type="first" r:id="rId9"/>
      <w:footerReference w:type="first" r:id="rId10"/>
      <w:pgSz w:w="11906" w:h="16838" w:code="9"/>
      <w:pgMar w:top="2608" w:right="1274" w:bottom="1985" w:left="1361"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FB" w:rsidRDefault="005F1AFB">
      <w:r>
        <w:separator/>
      </w:r>
    </w:p>
  </w:endnote>
  <w:endnote w:type="continuationSeparator" w:id="0">
    <w:p w:rsidR="005F1AFB" w:rsidRDefault="005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C20" w:rsidRDefault="00FC0C20">
    <w:pPr>
      <w:pStyle w:val="Fuzeile"/>
    </w:pPr>
    <w:r>
      <w:rPr>
        <w:noProof/>
      </w:rPr>
      <w:drawing>
        <wp:anchor distT="0" distB="0" distL="114300" distR="114300" simplePos="0" relativeHeight="251662336" behindDoc="1" locked="0" layoutInCell="1" allowOverlap="1" wp14:anchorId="7D0EF352" wp14:editId="7E18BAFD">
          <wp:simplePos x="0" y="0"/>
          <wp:positionH relativeFrom="page">
            <wp:posOffset>0</wp:posOffset>
          </wp:positionH>
          <wp:positionV relativeFrom="page">
            <wp:posOffset>9455329</wp:posOffset>
          </wp:positionV>
          <wp:extent cx="7560000" cy="123254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ratsamt_AIC-FDB_Vorlage_RGB_1Blatt_Fus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3254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FB" w:rsidRDefault="005F1AFB">
      <w:r>
        <w:separator/>
      </w:r>
    </w:p>
  </w:footnote>
  <w:footnote w:type="continuationSeparator" w:id="0">
    <w:p w:rsidR="005F1AFB" w:rsidRDefault="005F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8" w:rsidRDefault="00AC44F8">
    <w:pPr>
      <w:pStyle w:val="Kopfzeile"/>
    </w:pPr>
    <w:r>
      <w:rPr>
        <w:noProof/>
      </w:rPr>
      <w:drawing>
        <wp:anchor distT="0" distB="0" distL="114300" distR="114300" simplePos="0" relativeHeight="251661312" behindDoc="1" locked="1" layoutInCell="1" allowOverlap="1" wp14:anchorId="77B5D7CB" wp14:editId="7FADC79F">
          <wp:simplePos x="0" y="0"/>
          <wp:positionH relativeFrom="page">
            <wp:posOffset>0</wp:posOffset>
          </wp:positionH>
          <wp:positionV relativeFrom="page">
            <wp:posOffset>6985</wp:posOffset>
          </wp:positionV>
          <wp:extent cx="7558405" cy="139636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_LAF_Zweitblatt_SW.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3963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CF" w:rsidRDefault="00AC44F8">
    <w:pPr>
      <w:pStyle w:val="Kopfzeile"/>
    </w:pPr>
    <w:r>
      <w:rPr>
        <w:noProof/>
      </w:rPr>
      <w:drawing>
        <wp:anchor distT="0" distB="0" distL="114300" distR="114300" simplePos="0" relativeHeight="251658240" behindDoc="1" locked="1" layoutInCell="1" allowOverlap="1" wp14:anchorId="10F2B132" wp14:editId="6B9B3607">
          <wp:simplePos x="0" y="0"/>
          <wp:positionH relativeFrom="page">
            <wp:posOffset>0</wp:posOffset>
          </wp:positionH>
          <wp:positionV relativeFrom="page">
            <wp:posOffset>5080</wp:posOffset>
          </wp:positionV>
          <wp:extent cx="7558405" cy="190309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_LAF_Erstblatt_SW.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903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3DF5"/>
    <w:multiLevelType w:val="hybridMultilevel"/>
    <w:tmpl w:val="445AB1F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E0433A5"/>
    <w:multiLevelType w:val="hybridMultilevel"/>
    <w:tmpl w:val="ADC843B8"/>
    <w:lvl w:ilvl="0" w:tplc="3F34F8BE">
      <w:start w:val="1"/>
      <w:numFmt w:val="decimal"/>
      <w:lvlText w:val="%1."/>
      <w:lvlJc w:val="left"/>
      <w:pPr>
        <w:ind w:left="720" w:hanging="360"/>
      </w:pPr>
      <w:rPr>
        <w:rFonts w:hint="default"/>
        <w:u w:val="no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CD64D1"/>
    <w:multiLevelType w:val="hybridMultilevel"/>
    <w:tmpl w:val="D62AC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480523"/>
    <w:multiLevelType w:val="hybridMultilevel"/>
    <w:tmpl w:val="821ABE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C664EE"/>
    <w:multiLevelType w:val="hybridMultilevel"/>
    <w:tmpl w:val="74F6974A"/>
    <w:lvl w:ilvl="0" w:tplc="9D8CB24A">
      <w:start w:val="1"/>
      <w:numFmt w:val="lowerLetter"/>
      <w:lvlText w:val="%1)"/>
      <w:lvlJc w:val="left"/>
      <w:pPr>
        <w:ind w:left="1080" w:hanging="360"/>
      </w:pPr>
      <w:rPr>
        <w:rFonts w:cstheme="minorHAns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DCF70FB"/>
    <w:multiLevelType w:val="hybridMultilevel"/>
    <w:tmpl w:val="5896E4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6469D0"/>
    <w:multiLevelType w:val="multilevel"/>
    <w:tmpl w:val="36221852"/>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7D1448E6"/>
    <w:multiLevelType w:val="multilevel"/>
    <w:tmpl w:val="9774BE9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
  </w:num>
  <w:num w:numId="2">
    <w:abstractNumId w:val="2"/>
  </w:num>
  <w:num w:numId="3">
    <w:abstractNumId w:val="6"/>
  </w:num>
  <w:num w:numId="4">
    <w:abstractNumId w:val="3"/>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9F"/>
    <w:rsid w:val="00016A52"/>
    <w:rsid w:val="000872D7"/>
    <w:rsid w:val="000950CF"/>
    <w:rsid w:val="000B0779"/>
    <w:rsid w:val="000B5B8B"/>
    <w:rsid w:val="000C1A67"/>
    <w:rsid w:val="000C1DA3"/>
    <w:rsid w:val="000D340A"/>
    <w:rsid w:val="000E3086"/>
    <w:rsid w:val="000F3CBE"/>
    <w:rsid w:val="000F6C6D"/>
    <w:rsid w:val="00103B76"/>
    <w:rsid w:val="001160E7"/>
    <w:rsid w:val="00121597"/>
    <w:rsid w:val="00127557"/>
    <w:rsid w:val="0013558A"/>
    <w:rsid w:val="001742D3"/>
    <w:rsid w:val="00195C10"/>
    <w:rsid w:val="001A1E57"/>
    <w:rsid w:val="001B35D2"/>
    <w:rsid w:val="001C2D0E"/>
    <w:rsid w:val="001C43A0"/>
    <w:rsid w:val="001C5A61"/>
    <w:rsid w:val="001D669B"/>
    <w:rsid w:val="001D6716"/>
    <w:rsid w:val="001F3980"/>
    <w:rsid w:val="00212CD8"/>
    <w:rsid w:val="002209E0"/>
    <w:rsid w:val="00225E0F"/>
    <w:rsid w:val="00241C7F"/>
    <w:rsid w:val="0026469E"/>
    <w:rsid w:val="00275695"/>
    <w:rsid w:val="0028573D"/>
    <w:rsid w:val="002961E6"/>
    <w:rsid w:val="002A0284"/>
    <w:rsid w:val="002A645E"/>
    <w:rsid w:val="002D746F"/>
    <w:rsid w:val="002E02FE"/>
    <w:rsid w:val="003746E5"/>
    <w:rsid w:val="00376285"/>
    <w:rsid w:val="00387BC1"/>
    <w:rsid w:val="003A10B3"/>
    <w:rsid w:val="003D3DA5"/>
    <w:rsid w:val="003D4C95"/>
    <w:rsid w:val="003D6207"/>
    <w:rsid w:val="003D6460"/>
    <w:rsid w:val="003F61F0"/>
    <w:rsid w:val="003F76B3"/>
    <w:rsid w:val="00401545"/>
    <w:rsid w:val="0042303A"/>
    <w:rsid w:val="004239B7"/>
    <w:rsid w:val="00431685"/>
    <w:rsid w:val="00435BB4"/>
    <w:rsid w:val="004551A7"/>
    <w:rsid w:val="00462D4B"/>
    <w:rsid w:val="00463A2F"/>
    <w:rsid w:val="00463B3B"/>
    <w:rsid w:val="00471855"/>
    <w:rsid w:val="00471E9C"/>
    <w:rsid w:val="0048245C"/>
    <w:rsid w:val="0048634D"/>
    <w:rsid w:val="00487B82"/>
    <w:rsid w:val="00495DB6"/>
    <w:rsid w:val="004A7A5B"/>
    <w:rsid w:val="004B3DCE"/>
    <w:rsid w:val="004B6221"/>
    <w:rsid w:val="004B6B54"/>
    <w:rsid w:val="004F229C"/>
    <w:rsid w:val="004F5367"/>
    <w:rsid w:val="004F5900"/>
    <w:rsid w:val="004F7D4E"/>
    <w:rsid w:val="00503EF5"/>
    <w:rsid w:val="005048FF"/>
    <w:rsid w:val="005056DA"/>
    <w:rsid w:val="00537105"/>
    <w:rsid w:val="005375F9"/>
    <w:rsid w:val="00542989"/>
    <w:rsid w:val="00556484"/>
    <w:rsid w:val="00560432"/>
    <w:rsid w:val="00562EA2"/>
    <w:rsid w:val="00572411"/>
    <w:rsid w:val="00584047"/>
    <w:rsid w:val="0058752A"/>
    <w:rsid w:val="005971DE"/>
    <w:rsid w:val="005A03C0"/>
    <w:rsid w:val="005E32B0"/>
    <w:rsid w:val="005E67D5"/>
    <w:rsid w:val="005F1AFB"/>
    <w:rsid w:val="006203F2"/>
    <w:rsid w:val="00623E8A"/>
    <w:rsid w:val="006424CB"/>
    <w:rsid w:val="00644935"/>
    <w:rsid w:val="00660CCF"/>
    <w:rsid w:val="006707AA"/>
    <w:rsid w:val="0068569F"/>
    <w:rsid w:val="006A180C"/>
    <w:rsid w:val="006A42A9"/>
    <w:rsid w:val="006A5577"/>
    <w:rsid w:val="00701F0C"/>
    <w:rsid w:val="00705B10"/>
    <w:rsid w:val="00710E92"/>
    <w:rsid w:val="007177C9"/>
    <w:rsid w:val="00724D95"/>
    <w:rsid w:val="007273AF"/>
    <w:rsid w:val="00746B9C"/>
    <w:rsid w:val="00786D7B"/>
    <w:rsid w:val="007A4B8A"/>
    <w:rsid w:val="007A7138"/>
    <w:rsid w:val="007B6681"/>
    <w:rsid w:val="007C1597"/>
    <w:rsid w:val="007C2130"/>
    <w:rsid w:val="007C6068"/>
    <w:rsid w:val="007E39AC"/>
    <w:rsid w:val="007E48E9"/>
    <w:rsid w:val="007E6A4E"/>
    <w:rsid w:val="00822067"/>
    <w:rsid w:val="0082242A"/>
    <w:rsid w:val="0083358F"/>
    <w:rsid w:val="00856A55"/>
    <w:rsid w:val="008764AD"/>
    <w:rsid w:val="008C080D"/>
    <w:rsid w:val="008C3C79"/>
    <w:rsid w:val="008D68B7"/>
    <w:rsid w:val="008E12D1"/>
    <w:rsid w:val="008F62AE"/>
    <w:rsid w:val="009053C6"/>
    <w:rsid w:val="00944284"/>
    <w:rsid w:val="00975F0C"/>
    <w:rsid w:val="009A10B3"/>
    <w:rsid w:val="009E1402"/>
    <w:rsid w:val="009F6B0E"/>
    <w:rsid w:val="00A4191C"/>
    <w:rsid w:val="00A419EF"/>
    <w:rsid w:val="00A4389D"/>
    <w:rsid w:val="00A46F00"/>
    <w:rsid w:val="00A8104C"/>
    <w:rsid w:val="00A86FFC"/>
    <w:rsid w:val="00AA3A1E"/>
    <w:rsid w:val="00AB5C7B"/>
    <w:rsid w:val="00AC44F8"/>
    <w:rsid w:val="00AD3651"/>
    <w:rsid w:val="00AD6F93"/>
    <w:rsid w:val="00AF3DFC"/>
    <w:rsid w:val="00B15F8F"/>
    <w:rsid w:val="00B239E5"/>
    <w:rsid w:val="00B250FF"/>
    <w:rsid w:val="00B31C46"/>
    <w:rsid w:val="00B53808"/>
    <w:rsid w:val="00B70A6F"/>
    <w:rsid w:val="00B87F44"/>
    <w:rsid w:val="00B9736E"/>
    <w:rsid w:val="00B979CD"/>
    <w:rsid w:val="00BD358A"/>
    <w:rsid w:val="00BD3AF6"/>
    <w:rsid w:val="00BF7213"/>
    <w:rsid w:val="00C16EF0"/>
    <w:rsid w:val="00C37F8C"/>
    <w:rsid w:val="00C43D6A"/>
    <w:rsid w:val="00C5077B"/>
    <w:rsid w:val="00C54F46"/>
    <w:rsid w:val="00C70929"/>
    <w:rsid w:val="00C87337"/>
    <w:rsid w:val="00CA41FC"/>
    <w:rsid w:val="00CC4023"/>
    <w:rsid w:val="00CC449F"/>
    <w:rsid w:val="00CE4ACE"/>
    <w:rsid w:val="00CE4BA6"/>
    <w:rsid w:val="00CE5ED5"/>
    <w:rsid w:val="00CF3BF7"/>
    <w:rsid w:val="00D04BBA"/>
    <w:rsid w:val="00D1553B"/>
    <w:rsid w:val="00D17DB9"/>
    <w:rsid w:val="00D21DB0"/>
    <w:rsid w:val="00D27DB1"/>
    <w:rsid w:val="00D34D1B"/>
    <w:rsid w:val="00D40A8E"/>
    <w:rsid w:val="00D639B1"/>
    <w:rsid w:val="00D64E37"/>
    <w:rsid w:val="00D67B1B"/>
    <w:rsid w:val="00D737C2"/>
    <w:rsid w:val="00D77E68"/>
    <w:rsid w:val="00D81FBC"/>
    <w:rsid w:val="00D8265D"/>
    <w:rsid w:val="00D864EF"/>
    <w:rsid w:val="00D977D8"/>
    <w:rsid w:val="00DB26F4"/>
    <w:rsid w:val="00DB4D19"/>
    <w:rsid w:val="00DB6161"/>
    <w:rsid w:val="00DF6B22"/>
    <w:rsid w:val="00E03100"/>
    <w:rsid w:val="00E04B15"/>
    <w:rsid w:val="00E1264C"/>
    <w:rsid w:val="00E26F72"/>
    <w:rsid w:val="00E37C17"/>
    <w:rsid w:val="00E37C8D"/>
    <w:rsid w:val="00E4459A"/>
    <w:rsid w:val="00E93467"/>
    <w:rsid w:val="00EB31E7"/>
    <w:rsid w:val="00EB3323"/>
    <w:rsid w:val="00EB5A8F"/>
    <w:rsid w:val="00EB658C"/>
    <w:rsid w:val="00EC6EB3"/>
    <w:rsid w:val="00ED7133"/>
    <w:rsid w:val="00F3650F"/>
    <w:rsid w:val="00F64998"/>
    <w:rsid w:val="00F66775"/>
    <w:rsid w:val="00FA1D2A"/>
    <w:rsid w:val="00FC0C20"/>
    <w:rsid w:val="00FD60B4"/>
    <w:rsid w:val="00FD76D6"/>
    <w:rsid w:val="00FF4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3FC362-6DD0-4DED-8E06-C414C78C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29C"/>
    <w:rPr>
      <w:rFonts w:ascii="Arial" w:hAnsi="Arial" w:cs="Arial"/>
      <w:sz w:val="22"/>
    </w:rPr>
  </w:style>
  <w:style w:type="paragraph" w:styleId="berschrift1">
    <w:name w:val="heading 1"/>
    <w:basedOn w:val="Standard"/>
    <w:next w:val="Standard"/>
    <w:qFormat/>
    <w:pPr>
      <w:keepNext/>
      <w:outlineLvl w:val="0"/>
    </w:pPr>
    <w:rPr>
      <w:sz w:val="1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infAbs">
    <w:name w:val="[Einf. Abs.]"/>
    <w:basedOn w:val="Standard"/>
    <w:uiPriority w:val="99"/>
    <w:rsid w:val="00103B76"/>
    <w:pPr>
      <w:widowControl w:val="0"/>
      <w:autoSpaceDE w:val="0"/>
      <w:autoSpaceDN w:val="0"/>
      <w:adjustRightInd w:val="0"/>
      <w:spacing w:line="288" w:lineRule="auto"/>
      <w:textAlignment w:val="center"/>
    </w:pPr>
    <w:rPr>
      <w:rFonts w:ascii="ArialMT" w:eastAsiaTheme="minorHAnsi" w:hAnsi="ArialMT" w:cs="ArialMT"/>
      <w:color w:val="000000"/>
      <w:spacing w:val="-2"/>
      <w:szCs w:val="24"/>
      <w:lang w:eastAsia="en-US"/>
    </w:rPr>
  </w:style>
  <w:style w:type="character" w:styleId="Fett">
    <w:name w:val="Strong"/>
    <w:basedOn w:val="Absatz-Standardschriftart"/>
    <w:qFormat/>
    <w:rsid w:val="004F229C"/>
    <w:rPr>
      <w:b/>
      <w:bCs/>
    </w:rPr>
  </w:style>
  <w:style w:type="paragraph" w:styleId="Sprechblasentext">
    <w:name w:val="Balloon Text"/>
    <w:basedOn w:val="Standard"/>
    <w:link w:val="SprechblasentextZchn"/>
    <w:semiHidden/>
    <w:unhideWhenUsed/>
    <w:rsid w:val="0082242A"/>
    <w:rPr>
      <w:rFonts w:ascii="Segoe UI" w:hAnsi="Segoe UI" w:cs="Segoe UI"/>
      <w:sz w:val="18"/>
      <w:szCs w:val="18"/>
    </w:rPr>
  </w:style>
  <w:style w:type="character" w:customStyle="1" w:styleId="SprechblasentextZchn">
    <w:name w:val="Sprechblasentext Zchn"/>
    <w:basedOn w:val="Absatz-Standardschriftart"/>
    <w:link w:val="Sprechblasentext"/>
    <w:semiHidden/>
    <w:rsid w:val="0082242A"/>
    <w:rPr>
      <w:rFonts w:ascii="Segoe UI" w:hAnsi="Segoe UI" w:cs="Segoe UI"/>
      <w:sz w:val="18"/>
      <w:szCs w:val="18"/>
    </w:rPr>
  </w:style>
  <w:style w:type="paragraph" w:styleId="Listenabsatz">
    <w:name w:val="List Paragraph"/>
    <w:basedOn w:val="Standard"/>
    <w:uiPriority w:val="34"/>
    <w:qFormat/>
    <w:rsid w:val="007C2130"/>
    <w:pPr>
      <w:spacing w:after="200" w:line="276" w:lineRule="auto"/>
      <w:ind w:left="720"/>
      <w:contextualSpacing/>
    </w:pPr>
    <w:rPr>
      <w:rFonts w:asciiTheme="minorHAnsi" w:eastAsiaTheme="minorHAnsi" w:hAnsiTheme="minorHAnsi" w:cstheme="minorBidi"/>
      <w:szCs w:val="22"/>
      <w:lang w:eastAsia="en-US"/>
    </w:rPr>
  </w:style>
  <w:style w:type="paragraph" w:styleId="KeinLeerraum">
    <w:name w:val="No Spacing"/>
    <w:uiPriority w:val="1"/>
    <w:qFormat/>
    <w:rsid w:val="004B6221"/>
    <w:rPr>
      <w:rFonts w:asciiTheme="minorHAnsi" w:eastAsiaTheme="minorHAnsi" w:hAnsiTheme="minorHAnsi" w:cstheme="minorBidi"/>
      <w:sz w:val="22"/>
      <w:szCs w:val="22"/>
      <w:lang w:eastAsia="en-US"/>
    </w:rPr>
  </w:style>
  <w:style w:type="paragraph" w:styleId="Textkrper">
    <w:name w:val="Body Text"/>
    <w:basedOn w:val="Standard"/>
    <w:link w:val="TextkrperZchn"/>
    <w:semiHidden/>
    <w:rsid w:val="002D746F"/>
  </w:style>
  <w:style w:type="character" w:customStyle="1" w:styleId="TextkrperZchn">
    <w:name w:val="Textkörper Zchn"/>
    <w:basedOn w:val="Absatz-Standardschriftart"/>
    <w:link w:val="Textkrper"/>
    <w:semiHidden/>
    <w:rsid w:val="002D746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C247-CA81-4242-9311-F4FFF5F9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11473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Landratsamt Aichach-Friedberg</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Ufer</dc:creator>
  <cp:lastModifiedBy>Hohenbichler Barbara</cp:lastModifiedBy>
  <cp:revision>2</cp:revision>
  <cp:lastPrinted>2023-03-16T13:23:00Z</cp:lastPrinted>
  <dcterms:created xsi:type="dcterms:W3CDTF">2023-05-17T12:01:00Z</dcterms:created>
  <dcterms:modified xsi:type="dcterms:W3CDTF">2023-05-17T12:01:00Z</dcterms:modified>
</cp:coreProperties>
</file>